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F23" w:rsidRDefault="00C91F23"/>
    <w:p w:rsidR="00206A85" w:rsidRDefault="00206A85"/>
    <w:p w:rsidR="00206A85" w:rsidRDefault="00206A85" w:rsidP="00206A85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Obrazloženje </w:t>
      </w:r>
      <w:r w:rsidR="00F01647">
        <w:rPr>
          <w:rFonts w:ascii="Times New Roman" w:hAnsi="Times New Roman" w:cs="Times New Roman"/>
          <w:szCs w:val="24"/>
        </w:rPr>
        <w:t>polu</w:t>
      </w:r>
      <w:r w:rsidR="00624C1A">
        <w:rPr>
          <w:rFonts w:ascii="Times New Roman" w:hAnsi="Times New Roman" w:cs="Times New Roman"/>
          <w:szCs w:val="24"/>
        </w:rPr>
        <w:t>g</w:t>
      </w:r>
      <w:r>
        <w:rPr>
          <w:rFonts w:ascii="Times New Roman" w:hAnsi="Times New Roman" w:cs="Times New Roman"/>
          <w:szCs w:val="24"/>
        </w:rPr>
        <w:t>odišnjeg izvršenja financijskog plana</w:t>
      </w:r>
    </w:p>
    <w:p w:rsidR="00206A85" w:rsidRPr="001262FE" w:rsidRDefault="00206A85" w:rsidP="00206A85">
      <w:pPr>
        <w:spacing w:after="170" w:line="259" w:lineRule="auto"/>
        <w:ind w:left="19" w:right="0" w:hanging="10"/>
        <w:jc w:val="left"/>
        <w:rPr>
          <w:rFonts w:ascii="Times New Roman" w:hAnsi="Times New Roman" w:cs="Times New Roman"/>
          <w:szCs w:val="24"/>
        </w:rPr>
      </w:pPr>
    </w:p>
    <w:p w:rsidR="00206A85" w:rsidRDefault="00206A85" w:rsidP="00206A85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Uvod</w:t>
      </w:r>
    </w:p>
    <w:p w:rsidR="00206A85" w:rsidRPr="00876FCC" w:rsidRDefault="00206A85" w:rsidP="00206A85">
      <w:p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Polugodišnji i godišnji izvještaj o izvršenju financijskog plana za 202</w:t>
      </w:r>
      <w:r w:rsidR="00F0164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</w:t>
      </w:r>
      <w:r w:rsidRPr="00876FCC">
        <w:rPr>
          <w:rFonts w:ascii="Times New Roman" w:hAnsi="Times New Roman" w:cs="Times New Roman"/>
          <w:szCs w:val="24"/>
        </w:rPr>
        <w:t xml:space="preserve"> godinu izrađuje se prema odredbama</w:t>
      </w:r>
      <w:r>
        <w:rPr>
          <w:rFonts w:ascii="Times New Roman" w:hAnsi="Times New Roman" w:cs="Times New Roman"/>
          <w:szCs w:val="24"/>
        </w:rPr>
        <w:t>:</w:t>
      </w:r>
    </w:p>
    <w:p w:rsidR="00206A85" w:rsidRPr="00876FCC" w:rsidRDefault="00206A85" w:rsidP="00206A85">
      <w:pPr>
        <w:pStyle w:val="Odlomakpopisa"/>
        <w:numPr>
          <w:ilvl w:val="0"/>
          <w:numId w:val="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Zakona o proračunu ( broj 144</w:t>
      </w:r>
      <w:r>
        <w:rPr>
          <w:rFonts w:ascii="Times New Roman" w:hAnsi="Times New Roman" w:cs="Times New Roman"/>
          <w:szCs w:val="24"/>
        </w:rPr>
        <w:t>/</w:t>
      </w:r>
      <w:r w:rsidRPr="00876FCC">
        <w:rPr>
          <w:rFonts w:ascii="Times New Roman" w:hAnsi="Times New Roman" w:cs="Times New Roman"/>
          <w:szCs w:val="24"/>
        </w:rPr>
        <w:t>21 članci 76</w:t>
      </w:r>
      <w:r>
        <w:rPr>
          <w:rFonts w:ascii="Times New Roman" w:hAnsi="Times New Roman" w:cs="Times New Roman"/>
          <w:szCs w:val="24"/>
        </w:rPr>
        <w:t>. –</w:t>
      </w:r>
      <w:r w:rsidRPr="00876FCC">
        <w:rPr>
          <w:rFonts w:ascii="Times New Roman" w:hAnsi="Times New Roman" w:cs="Times New Roman"/>
          <w:szCs w:val="24"/>
        </w:rPr>
        <w:t xml:space="preserve"> 91</w:t>
      </w:r>
      <w:r>
        <w:rPr>
          <w:rFonts w:ascii="Times New Roman" w:hAnsi="Times New Roman" w:cs="Times New Roman"/>
          <w:szCs w:val="24"/>
        </w:rPr>
        <w:t>)</w:t>
      </w:r>
      <w:r w:rsidRPr="00876FCC">
        <w:rPr>
          <w:rFonts w:ascii="Times New Roman" w:hAnsi="Times New Roman" w:cs="Times New Roman"/>
          <w:szCs w:val="24"/>
        </w:rPr>
        <w:t xml:space="preserve"> i</w:t>
      </w:r>
    </w:p>
    <w:p w:rsidR="00206A85" w:rsidRDefault="00206A85" w:rsidP="00206A85">
      <w:pPr>
        <w:pStyle w:val="Odlomakpopisa"/>
        <w:numPr>
          <w:ilvl w:val="0"/>
          <w:numId w:val="1"/>
        </w:numPr>
        <w:spacing w:after="253"/>
        <w:ind w:right="0"/>
        <w:jc w:val="left"/>
        <w:rPr>
          <w:rFonts w:ascii="Times New Roman" w:hAnsi="Times New Roman" w:cs="Times New Roman"/>
          <w:szCs w:val="24"/>
        </w:rPr>
      </w:pPr>
      <w:r w:rsidRPr="00876FCC">
        <w:rPr>
          <w:rFonts w:ascii="Times New Roman" w:hAnsi="Times New Roman" w:cs="Times New Roman"/>
          <w:szCs w:val="24"/>
        </w:rPr>
        <w:t>Pravilnika o polugodišnjem i godišnjem izvještaju o izvršenju</w:t>
      </w:r>
      <w:r>
        <w:rPr>
          <w:rFonts w:ascii="Times New Roman" w:hAnsi="Times New Roman" w:cs="Times New Roman"/>
          <w:szCs w:val="24"/>
        </w:rPr>
        <w:t xml:space="preserve"> proračuna i financijskog plana</w:t>
      </w:r>
    </w:p>
    <w:p w:rsidR="00206A85" w:rsidRPr="00876FCC" w:rsidRDefault="00206A85" w:rsidP="00206A85">
      <w:pPr>
        <w:pStyle w:val="Odlomakpopisa"/>
        <w:spacing w:after="253"/>
        <w:ind w:right="0" w:firstLine="0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06A85" w:rsidRDefault="00206A85" w:rsidP="00206A85">
      <w:pPr>
        <w:spacing w:after="5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Pr="001262F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Obrazloženje općeg dijela</w:t>
      </w:r>
    </w:p>
    <w:p w:rsidR="001B0240" w:rsidRDefault="001B0240" w:rsidP="001B0240">
      <w:pPr>
        <w:rPr>
          <w:rFonts w:ascii="Times New Roman" w:hAnsi="Times New Roman" w:cs="Times New Roman"/>
          <w:b/>
          <w:szCs w:val="24"/>
        </w:rPr>
      </w:pPr>
      <w:r w:rsidRPr="00A834AC">
        <w:rPr>
          <w:rFonts w:ascii="Times New Roman" w:hAnsi="Times New Roman" w:cs="Times New Roman"/>
          <w:b/>
          <w:szCs w:val="24"/>
        </w:rPr>
        <w:t>PRIHODI I PRIMICI</w:t>
      </w:r>
    </w:p>
    <w:p w:rsidR="00624C1A" w:rsidRPr="00A834AC" w:rsidRDefault="00624C1A" w:rsidP="001B0240">
      <w:pPr>
        <w:rPr>
          <w:rFonts w:ascii="Times New Roman" w:hAnsi="Times New Roman" w:cs="Times New Roman"/>
          <w:b/>
          <w:szCs w:val="24"/>
        </w:rPr>
      </w:pPr>
    </w:p>
    <w:p w:rsidR="003A42B9" w:rsidRPr="00D00C74" w:rsidRDefault="003A42B9" w:rsidP="003A42B9">
      <w:pPr>
        <w:rPr>
          <w:rFonts w:ascii="Times New Roman" w:hAnsi="Times New Roman"/>
          <w:szCs w:val="24"/>
        </w:rPr>
      </w:pPr>
      <w:r w:rsidRPr="00D00C74">
        <w:rPr>
          <w:rFonts w:ascii="Times New Roman" w:hAnsi="Times New Roman"/>
          <w:szCs w:val="24"/>
        </w:rPr>
        <w:t>Planirani ukupni prihodi i primici za 202</w:t>
      </w:r>
      <w:r w:rsidR="00F01647">
        <w:rPr>
          <w:rFonts w:ascii="Times New Roman" w:hAnsi="Times New Roman"/>
          <w:szCs w:val="24"/>
        </w:rPr>
        <w:t>5</w:t>
      </w:r>
      <w:r w:rsidRPr="00D00C74">
        <w:rPr>
          <w:rFonts w:ascii="Times New Roman" w:hAnsi="Times New Roman"/>
          <w:szCs w:val="24"/>
        </w:rPr>
        <w:t xml:space="preserve">. iznose </w:t>
      </w:r>
      <w:r w:rsidR="00F01647" w:rsidRPr="00F01647">
        <w:rPr>
          <w:rFonts w:ascii="Times New Roman" w:hAnsi="Times New Roman"/>
          <w:szCs w:val="24"/>
        </w:rPr>
        <w:t>10.197.231</w:t>
      </w:r>
      <w:r w:rsidR="00F01647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 xml:space="preserve">EUR  i to iz izvora: državnog proračuna (izvor 11) </w:t>
      </w:r>
      <w:r w:rsidR="00F01647" w:rsidRPr="00F01647">
        <w:rPr>
          <w:rFonts w:ascii="Times New Roman" w:hAnsi="Times New Roman"/>
          <w:szCs w:val="24"/>
        </w:rPr>
        <w:t>9.267.799,00</w:t>
      </w:r>
      <w:r w:rsidR="00F01647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 xml:space="preserve">EUR, vlastitih prihoda (izvor 31) </w:t>
      </w:r>
      <w:r w:rsidR="00F01647">
        <w:rPr>
          <w:rFonts w:ascii="Times New Roman" w:hAnsi="Times New Roman"/>
          <w:szCs w:val="24"/>
        </w:rPr>
        <w:t xml:space="preserve">50.000 </w:t>
      </w:r>
      <w:r w:rsidRPr="00D00C74">
        <w:rPr>
          <w:rFonts w:ascii="Times New Roman" w:hAnsi="Times New Roman"/>
          <w:szCs w:val="24"/>
        </w:rPr>
        <w:t xml:space="preserve">EUR, prihoda za posebne namjene (izvor 43) </w:t>
      </w:r>
      <w:r w:rsidR="00F01647">
        <w:rPr>
          <w:rFonts w:ascii="Times New Roman" w:hAnsi="Times New Roman"/>
          <w:szCs w:val="24"/>
        </w:rPr>
        <w:t>300</w:t>
      </w:r>
      <w:r>
        <w:rPr>
          <w:rFonts w:ascii="Times New Roman" w:hAnsi="Times New Roman"/>
          <w:szCs w:val="24"/>
        </w:rPr>
        <w:t>.000</w:t>
      </w:r>
      <w:r w:rsidRPr="00D00C74">
        <w:rPr>
          <w:rFonts w:ascii="Times New Roman" w:hAnsi="Times New Roman"/>
          <w:szCs w:val="24"/>
        </w:rPr>
        <w:t xml:space="preserve"> EUR, ostale pomoći (izvor 52) </w:t>
      </w:r>
      <w:r w:rsidR="00F01647" w:rsidRPr="00F01647">
        <w:rPr>
          <w:rFonts w:ascii="Times New Roman" w:hAnsi="Times New Roman"/>
          <w:szCs w:val="24"/>
        </w:rPr>
        <w:t>299.432</w:t>
      </w:r>
      <w:r w:rsidR="00F01647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i </w:t>
      </w:r>
      <w:r w:rsidRPr="00D00C74">
        <w:rPr>
          <w:rFonts w:ascii="Times New Roman" w:hAnsi="Times New Roman"/>
          <w:szCs w:val="24"/>
        </w:rPr>
        <w:t xml:space="preserve">tekuće pomoći od institucija i tijela EU (izvor 51) </w:t>
      </w:r>
      <w:r w:rsidR="00F01647">
        <w:rPr>
          <w:rFonts w:ascii="Times New Roman" w:hAnsi="Times New Roman"/>
          <w:szCs w:val="24"/>
        </w:rPr>
        <w:t>280</w:t>
      </w:r>
      <w:r w:rsidR="00D26CF5">
        <w:rPr>
          <w:rFonts w:ascii="Times New Roman" w:hAnsi="Times New Roman"/>
          <w:szCs w:val="24"/>
        </w:rPr>
        <w:t xml:space="preserve">.000 </w:t>
      </w:r>
      <w:r w:rsidRPr="00D00C74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>.</w:t>
      </w:r>
    </w:p>
    <w:p w:rsidR="008134E8" w:rsidRDefault="00A834AC" w:rsidP="008134E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Ostvareni prihodi</w:t>
      </w:r>
      <w:r w:rsidR="001B0240" w:rsidRPr="00A834AC">
        <w:rPr>
          <w:rFonts w:ascii="Times New Roman" w:hAnsi="Times New Roman" w:cs="Times New Roman"/>
          <w:szCs w:val="24"/>
        </w:rPr>
        <w:t xml:space="preserve"> za </w:t>
      </w:r>
      <w:r w:rsidR="00E643AD">
        <w:rPr>
          <w:rFonts w:ascii="Times New Roman" w:hAnsi="Times New Roman" w:cs="Times New Roman"/>
          <w:szCs w:val="24"/>
        </w:rPr>
        <w:t>razdoblje 01</w:t>
      </w:r>
      <w:r w:rsidR="009B6970">
        <w:rPr>
          <w:rFonts w:ascii="Times New Roman" w:hAnsi="Times New Roman" w:cs="Times New Roman"/>
          <w:szCs w:val="24"/>
        </w:rPr>
        <w:t>.</w:t>
      </w:r>
      <w:r w:rsidR="00E643AD">
        <w:rPr>
          <w:rFonts w:ascii="Times New Roman" w:hAnsi="Times New Roman" w:cs="Times New Roman"/>
          <w:szCs w:val="24"/>
        </w:rPr>
        <w:t>-06.2025</w:t>
      </w:r>
      <w:r w:rsidR="001B0240" w:rsidRPr="00A834AC">
        <w:rPr>
          <w:rFonts w:ascii="Times New Roman" w:hAnsi="Times New Roman" w:cs="Times New Roman"/>
          <w:szCs w:val="24"/>
        </w:rPr>
        <w:t>. godin</w:t>
      </w:r>
      <w:r w:rsidR="00E643AD">
        <w:rPr>
          <w:rFonts w:ascii="Times New Roman" w:hAnsi="Times New Roman" w:cs="Times New Roman"/>
          <w:szCs w:val="24"/>
        </w:rPr>
        <w:t>e</w:t>
      </w:r>
      <w:r w:rsidR="001B0240" w:rsidRPr="00A834AC">
        <w:rPr>
          <w:rFonts w:ascii="Times New Roman" w:hAnsi="Times New Roman" w:cs="Times New Roman"/>
          <w:szCs w:val="24"/>
        </w:rPr>
        <w:t xml:space="preserve"> iznos</w:t>
      </w:r>
      <w:r w:rsidR="00E643AD">
        <w:rPr>
          <w:rFonts w:ascii="Times New Roman" w:hAnsi="Times New Roman" w:cs="Times New Roman"/>
          <w:szCs w:val="24"/>
        </w:rPr>
        <w:t xml:space="preserve">e </w:t>
      </w:r>
      <w:r w:rsidR="00E643AD" w:rsidRPr="00E643AD">
        <w:rPr>
          <w:rFonts w:ascii="Times New Roman" w:hAnsi="Times New Roman" w:cs="Times New Roman"/>
          <w:szCs w:val="24"/>
        </w:rPr>
        <w:t>5.376.817,95</w:t>
      </w:r>
      <w:r w:rsidR="00E643AD">
        <w:rPr>
          <w:rFonts w:ascii="Times New Roman" w:hAnsi="Times New Roman" w:cs="Times New Roman"/>
          <w:szCs w:val="24"/>
        </w:rPr>
        <w:t xml:space="preserve"> </w:t>
      </w:r>
      <w:r w:rsidR="001B0240" w:rsidRPr="00A834AC">
        <w:rPr>
          <w:rFonts w:ascii="Times New Roman" w:hAnsi="Times New Roman" w:cs="Times New Roman"/>
          <w:szCs w:val="24"/>
        </w:rPr>
        <w:t xml:space="preserve">EUR. </w:t>
      </w:r>
      <w:r>
        <w:rPr>
          <w:rFonts w:ascii="Times New Roman" w:hAnsi="Times New Roman" w:cs="Times New Roman"/>
          <w:szCs w:val="24"/>
        </w:rPr>
        <w:t xml:space="preserve">Po izvorima </w:t>
      </w:r>
      <w:r w:rsidR="00946264">
        <w:rPr>
          <w:rFonts w:ascii="Times New Roman" w:hAnsi="Times New Roman" w:cs="Times New Roman"/>
          <w:szCs w:val="24"/>
        </w:rPr>
        <w:t>financiranja</w:t>
      </w:r>
      <w:r>
        <w:rPr>
          <w:rFonts w:ascii="Times New Roman" w:hAnsi="Times New Roman" w:cs="Times New Roman"/>
          <w:szCs w:val="24"/>
        </w:rPr>
        <w:t xml:space="preserve"> to je: </w:t>
      </w:r>
      <w:r w:rsidR="00946264">
        <w:rPr>
          <w:rFonts w:ascii="Times New Roman" w:hAnsi="Times New Roman" w:cs="Times New Roman"/>
          <w:szCs w:val="24"/>
        </w:rPr>
        <w:t>iz</w:t>
      </w:r>
      <w:r w:rsidR="008134E8">
        <w:rPr>
          <w:rFonts w:ascii="Times New Roman" w:hAnsi="Times New Roman" w:cs="Times New Roman"/>
          <w:szCs w:val="24"/>
        </w:rPr>
        <w:t xml:space="preserve"> </w:t>
      </w:r>
      <w:r w:rsidRPr="00A834AC">
        <w:rPr>
          <w:rFonts w:ascii="Times New Roman" w:hAnsi="Times New Roman" w:cs="Times New Roman"/>
          <w:szCs w:val="24"/>
        </w:rPr>
        <w:t xml:space="preserve">državnog proračuna (izvor 11) </w:t>
      </w:r>
      <w:r w:rsidR="00E643AD" w:rsidRPr="00E643AD">
        <w:rPr>
          <w:rFonts w:ascii="Times New Roman" w:hAnsi="Times New Roman" w:cs="Times New Roman"/>
          <w:szCs w:val="24"/>
        </w:rPr>
        <w:t>4.906.863,86</w:t>
      </w:r>
      <w:r w:rsidR="00E643AD">
        <w:rPr>
          <w:rFonts w:ascii="Times New Roman" w:hAnsi="Times New Roman" w:cs="Times New Roman"/>
          <w:szCs w:val="24"/>
        </w:rPr>
        <w:t xml:space="preserve"> </w:t>
      </w:r>
      <w:r w:rsidRPr="00A834AC">
        <w:rPr>
          <w:rFonts w:ascii="Times New Roman" w:hAnsi="Times New Roman" w:cs="Times New Roman"/>
          <w:szCs w:val="24"/>
        </w:rPr>
        <w:t xml:space="preserve">EUR, vlastitih prihoda (izvor 31) </w:t>
      </w:r>
      <w:r w:rsidR="00E643AD" w:rsidRPr="00E643AD">
        <w:rPr>
          <w:rFonts w:ascii="Times New Roman" w:hAnsi="Times New Roman" w:cs="Times New Roman"/>
          <w:szCs w:val="24"/>
        </w:rPr>
        <w:t>14.547,25</w:t>
      </w:r>
      <w:r w:rsidR="00E643AD">
        <w:rPr>
          <w:rFonts w:ascii="Times New Roman" w:hAnsi="Times New Roman" w:cs="Times New Roman"/>
          <w:szCs w:val="24"/>
        </w:rPr>
        <w:t xml:space="preserve"> </w:t>
      </w:r>
      <w:r w:rsidRPr="00A834AC">
        <w:rPr>
          <w:rFonts w:ascii="Times New Roman" w:hAnsi="Times New Roman" w:cs="Times New Roman"/>
          <w:szCs w:val="24"/>
        </w:rPr>
        <w:t xml:space="preserve">EUR, prihoda za posebne namjene (izvor 43) </w:t>
      </w:r>
      <w:r w:rsidR="00E643AD" w:rsidRPr="00E643AD">
        <w:rPr>
          <w:rFonts w:ascii="Times New Roman" w:hAnsi="Times New Roman" w:cs="Times New Roman"/>
          <w:szCs w:val="24"/>
        </w:rPr>
        <w:t>141.419,49</w:t>
      </w:r>
      <w:r w:rsidR="00E643AD">
        <w:rPr>
          <w:rFonts w:ascii="Times New Roman" w:hAnsi="Times New Roman" w:cs="Times New Roman"/>
          <w:szCs w:val="24"/>
        </w:rPr>
        <w:t xml:space="preserve"> </w:t>
      </w:r>
      <w:r w:rsidRPr="00A834AC">
        <w:rPr>
          <w:rFonts w:ascii="Times New Roman" w:hAnsi="Times New Roman" w:cs="Times New Roman"/>
          <w:szCs w:val="24"/>
        </w:rPr>
        <w:t>EUR</w:t>
      </w:r>
      <w:r w:rsidR="00E643AD">
        <w:rPr>
          <w:rFonts w:ascii="Times New Roman" w:hAnsi="Times New Roman" w:cs="Times New Roman"/>
          <w:szCs w:val="24"/>
        </w:rPr>
        <w:t xml:space="preserve"> te</w:t>
      </w:r>
      <w:r w:rsidRPr="00A834AC">
        <w:rPr>
          <w:rFonts w:ascii="Times New Roman" w:hAnsi="Times New Roman" w:cs="Times New Roman"/>
          <w:szCs w:val="24"/>
        </w:rPr>
        <w:t xml:space="preserve"> ostale pomoći (izvor 52) </w:t>
      </w:r>
      <w:r w:rsidR="00E643AD" w:rsidRPr="00E643AD">
        <w:rPr>
          <w:rFonts w:ascii="Times New Roman" w:hAnsi="Times New Roman" w:cs="Times New Roman"/>
          <w:szCs w:val="24"/>
        </w:rPr>
        <w:t>313.987,35</w:t>
      </w:r>
      <w:r w:rsidR="00E643AD">
        <w:rPr>
          <w:rFonts w:ascii="Times New Roman" w:hAnsi="Times New Roman" w:cs="Times New Roman"/>
          <w:szCs w:val="24"/>
        </w:rPr>
        <w:t xml:space="preserve"> </w:t>
      </w:r>
      <w:r w:rsidRPr="00A834AC">
        <w:rPr>
          <w:rFonts w:ascii="Times New Roman" w:hAnsi="Times New Roman" w:cs="Times New Roman"/>
          <w:szCs w:val="24"/>
        </w:rPr>
        <w:t>EUR</w:t>
      </w:r>
      <w:r w:rsidR="00E643AD">
        <w:rPr>
          <w:rFonts w:ascii="Times New Roman" w:hAnsi="Times New Roman" w:cs="Times New Roman"/>
          <w:szCs w:val="24"/>
        </w:rPr>
        <w:t>.</w:t>
      </w:r>
    </w:p>
    <w:p w:rsidR="001B0240" w:rsidRDefault="001B0240" w:rsidP="001B0240">
      <w:pPr>
        <w:rPr>
          <w:rFonts w:ascii="Times New Roman" w:hAnsi="Times New Roman" w:cs="Times New Roman"/>
          <w:szCs w:val="24"/>
        </w:rPr>
      </w:pPr>
      <w:r w:rsidRPr="00A834AC">
        <w:rPr>
          <w:rFonts w:ascii="Times New Roman" w:hAnsi="Times New Roman" w:cs="Times New Roman"/>
          <w:szCs w:val="24"/>
        </w:rPr>
        <w:t>Fakultet nema namjeru zaduživanja u narednom razdoblju</w:t>
      </w:r>
      <w:r w:rsidR="00946264">
        <w:rPr>
          <w:rFonts w:ascii="Times New Roman" w:hAnsi="Times New Roman" w:cs="Times New Roman"/>
          <w:szCs w:val="24"/>
        </w:rPr>
        <w:t>.</w:t>
      </w:r>
    </w:p>
    <w:p w:rsidR="00A834AC" w:rsidRDefault="00A834AC" w:rsidP="001B0240">
      <w:pPr>
        <w:rPr>
          <w:rFonts w:ascii="Times New Roman" w:hAnsi="Times New Roman" w:cs="Times New Roman"/>
          <w:szCs w:val="24"/>
        </w:rPr>
      </w:pPr>
    </w:p>
    <w:p w:rsidR="00A834AC" w:rsidRDefault="00E643AD" w:rsidP="00A834A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Ukupn</w:t>
      </w:r>
      <w:r w:rsidR="009B6970">
        <w:rPr>
          <w:rFonts w:ascii="Times New Roman" w:hAnsi="Times New Roman" w:cs="Times New Roman"/>
          <w:szCs w:val="24"/>
        </w:rPr>
        <w:t>o ostvareni</w:t>
      </w:r>
      <w:r>
        <w:rPr>
          <w:rFonts w:ascii="Times New Roman" w:hAnsi="Times New Roman" w:cs="Times New Roman"/>
          <w:szCs w:val="24"/>
        </w:rPr>
        <w:t xml:space="preserve"> prihodi </w:t>
      </w:r>
      <w:r w:rsidR="009B6970">
        <w:rPr>
          <w:rFonts w:ascii="Times New Roman" w:hAnsi="Times New Roman" w:cs="Times New Roman"/>
          <w:szCs w:val="24"/>
        </w:rPr>
        <w:t xml:space="preserve">su </w:t>
      </w:r>
      <w:r>
        <w:rPr>
          <w:rFonts w:ascii="Times New Roman" w:hAnsi="Times New Roman" w:cs="Times New Roman"/>
          <w:szCs w:val="24"/>
        </w:rPr>
        <w:t>u nešto većem iznosu od 50% izvršenja planiranog što je u skladu s polugodišnjim razdobljem izvještavanja.</w:t>
      </w:r>
    </w:p>
    <w:p w:rsidR="00FC2809" w:rsidRDefault="00FC2809" w:rsidP="00FC28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Kao veće odstupanje mogu se navesti prihodi ostalih pomoći (izvor 52) budući da su već sad premašili godišnji planirani prihod. Nemamo podatak temeljem kojih bismo mogli tvrditi kako </w:t>
      </w:r>
    </w:p>
    <w:p w:rsidR="00FC2809" w:rsidRDefault="00FC2809" w:rsidP="00FC280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kraja godine više neće biti uplata iz ovog izvora te da će prihod biti ostvaren u planiranim vrijednostima. Više je vjerojatno da će se pristupiti izradi rebalansa za ovaj izvor i ovu aktivnost.</w:t>
      </w:r>
    </w:p>
    <w:p w:rsidR="006A2526" w:rsidRPr="00A834AC" w:rsidRDefault="006A2526" w:rsidP="00A834AC">
      <w:pPr>
        <w:rPr>
          <w:rFonts w:ascii="Times New Roman" w:hAnsi="Times New Roman" w:cs="Times New Roman"/>
          <w:szCs w:val="24"/>
        </w:rPr>
      </w:pPr>
    </w:p>
    <w:p w:rsidR="00A834AC" w:rsidRDefault="00A834AC" w:rsidP="00A834AC">
      <w:pPr>
        <w:rPr>
          <w:rFonts w:ascii="Times New Roman" w:hAnsi="Times New Roman" w:cs="Times New Roman"/>
          <w:szCs w:val="24"/>
        </w:rPr>
      </w:pPr>
      <w:r w:rsidRPr="00A834AC">
        <w:rPr>
          <w:rFonts w:ascii="Times New Roman" w:hAnsi="Times New Roman" w:cs="Times New Roman"/>
          <w:szCs w:val="24"/>
        </w:rPr>
        <w:t>U odnosu na 202</w:t>
      </w:r>
      <w:r w:rsidR="00FC2809">
        <w:rPr>
          <w:rFonts w:ascii="Times New Roman" w:hAnsi="Times New Roman" w:cs="Times New Roman"/>
          <w:szCs w:val="24"/>
        </w:rPr>
        <w:t>4</w:t>
      </w:r>
      <w:r w:rsidRPr="00A834AC">
        <w:rPr>
          <w:rFonts w:ascii="Times New Roman" w:hAnsi="Times New Roman" w:cs="Times New Roman"/>
          <w:szCs w:val="24"/>
        </w:rPr>
        <w:t xml:space="preserve">. godinu </w:t>
      </w:r>
      <w:r w:rsidR="00FC2809">
        <w:rPr>
          <w:rFonts w:ascii="Times New Roman" w:hAnsi="Times New Roman" w:cs="Times New Roman"/>
          <w:szCs w:val="24"/>
        </w:rPr>
        <w:t>također je najveće odstupanje na izvoru 52 samo u ovom slučaju u korist 2024. godine kada je u istom razdoblju ostvaren veći prihod.</w:t>
      </w:r>
    </w:p>
    <w:p w:rsidR="00A834AC" w:rsidRDefault="00A834AC" w:rsidP="001B0240">
      <w:pPr>
        <w:rPr>
          <w:rFonts w:ascii="Times New Roman" w:hAnsi="Times New Roman" w:cs="Times New Roman"/>
          <w:szCs w:val="24"/>
        </w:rPr>
      </w:pPr>
    </w:p>
    <w:p w:rsidR="001B0240" w:rsidRDefault="001B0240" w:rsidP="0086479C">
      <w:pPr>
        <w:ind w:left="0" w:firstLine="0"/>
        <w:rPr>
          <w:rFonts w:ascii="Times New Roman" w:hAnsi="Times New Roman" w:cs="Times New Roman"/>
          <w:b/>
          <w:szCs w:val="24"/>
        </w:rPr>
      </w:pPr>
      <w:r w:rsidRPr="00A834AC">
        <w:rPr>
          <w:rFonts w:ascii="Times New Roman" w:hAnsi="Times New Roman" w:cs="Times New Roman"/>
          <w:b/>
          <w:szCs w:val="24"/>
        </w:rPr>
        <w:t>RASHODI I IZDACI</w:t>
      </w:r>
    </w:p>
    <w:p w:rsidR="00946264" w:rsidRPr="00A834AC" w:rsidRDefault="00946264" w:rsidP="0086479C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3F2BE5" w:rsidRDefault="003F2BE5" w:rsidP="003F32FC">
      <w:pPr>
        <w:spacing w:after="0" w:line="240" w:lineRule="auto"/>
        <w:ind w:left="0" w:right="0" w:firstLine="0"/>
        <w:rPr>
          <w:rFonts w:ascii="Times New Roman" w:hAnsi="Times New Roman"/>
          <w:szCs w:val="24"/>
        </w:rPr>
      </w:pPr>
      <w:r w:rsidRPr="00D00C74">
        <w:rPr>
          <w:rFonts w:ascii="Times New Roman" w:hAnsi="Times New Roman"/>
          <w:szCs w:val="24"/>
        </w:rPr>
        <w:t>Ukupno planirani rashodi za 202</w:t>
      </w:r>
      <w:r w:rsidR="003F32FC">
        <w:rPr>
          <w:rFonts w:ascii="Times New Roman" w:hAnsi="Times New Roman"/>
          <w:szCs w:val="24"/>
        </w:rPr>
        <w:t>5</w:t>
      </w:r>
      <w:r w:rsidRPr="00D00C74">
        <w:rPr>
          <w:rFonts w:ascii="Times New Roman" w:hAnsi="Times New Roman"/>
          <w:szCs w:val="24"/>
        </w:rPr>
        <w:t xml:space="preserve">. godinu iznose </w:t>
      </w:r>
      <w:r w:rsidR="003F32FC" w:rsidRPr="003F32FC">
        <w:rPr>
          <w:rFonts w:ascii="Times New Roman" w:hAnsi="Times New Roman"/>
          <w:szCs w:val="24"/>
        </w:rPr>
        <w:t>10.195.881</w:t>
      </w:r>
      <w:r w:rsidR="003F32FC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 xml:space="preserve">EUR i to iz izvora: državnog proračuna (izvor 11) </w:t>
      </w:r>
      <w:r w:rsidR="003F32FC" w:rsidRPr="003F32FC">
        <w:rPr>
          <w:rFonts w:ascii="Times New Roman" w:hAnsi="Times New Roman"/>
          <w:szCs w:val="24"/>
        </w:rPr>
        <w:t>9.267.799</w:t>
      </w:r>
      <w:r w:rsidR="003F32FC" w:rsidRPr="003F32FC">
        <w:rPr>
          <w:rFonts w:ascii="Times New Roman" w:hAnsi="Times New Roman"/>
          <w:szCs w:val="24"/>
        </w:rPr>
        <w:t xml:space="preserve"> </w:t>
      </w:r>
      <w:r w:rsidR="003F32FC">
        <w:rPr>
          <w:rFonts w:ascii="Times New Roman" w:hAnsi="Times New Roman"/>
          <w:szCs w:val="24"/>
        </w:rPr>
        <w:t>E</w:t>
      </w:r>
      <w:r w:rsidRPr="00D00C74">
        <w:rPr>
          <w:rFonts w:ascii="Times New Roman" w:hAnsi="Times New Roman"/>
          <w:szCs w:val="24"/>
        </w:rPr>
        <w:t xml:space="preserve">UR, vlastitih prihoda (izvor 31) </w:t>
      </w:r>
      <w:r w:rsidR="003F32FC">
        <w:rPr>
          <w:rFonts w:ascii="Times New Roman" w:hAnsi="Times New Roman"/>
          <w:szCs w:val="24"/>
        </w:rPr>
        <w:t>45.5</w:t>
      </w:r>
      <w:r w:rsidR="008E4B32">
        <w:rPr>
          <w:rFonts w:ascii="Times New Roman" w:hAnsi="Times New Roman"/>
          <w:szCs w:val="24"/>
        </w:rPr>
        <w:t>5</w:t>
      </w:r>
      <w:r w:rsidR="003F32FC">
        <w:rPr>
          <w:rFonts w:ascii="Times New Roman" w:hAnsi="Times New Roman"/>
          <w:szCs w:val="24"/>
        </w:rPr>
        <w:t>0</w:t>
      </w:r>
      <w:r w:rsidR="006A2526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 xml:space="preserve">EUR, </w:t>
      </w:r>
      <w:r>
        <w:rPr>
          <w:rFonts w:ascii="Times New Roman" w:hAnsi="Times New Roman"/>
          <w:szCs w:val="24"/>
        </w:rPr>
        <w:t>prihodi</w:t>
      </w:r>
      <w:r w:rsidRPr="00D00C74">
        <w:rPr>
          <w:rFonts w:ascii="Times New Roman" w:hAnsi="Times New Roman"/>
          <w:szCs w:val="24"/>
        </w:rPr>
        <w:t xml:space="preserve"> za </w:t>
      </w:r>
      <w:r w:rsidRPr="00D00C74">
        <w:rPr>
          <w:rFonts w:ascii="Times New Roman" w:hAnsi="Times New Roman"/>
          <w:szCs w:val="24"/>
        </w:rPr>
        <w:lastRenderedPageBreak/>
        <w:t xml:space="preserve">posebne namjene (izvor 43) </w:t>
      </w:r>
      <w:r w:rsidR="003F32FC">
        <w:rPr>
          <w:rFonts w:ascii="Times New Roman" w:hAnsi="Times New Roman"/>
          <w:szCs w:val="24"/>
        </w:rPr>
        <w:t>280.000</w:t>
      </w:r>
      <w:r w:rsidR="006A2526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 xml:space="preserve">EUR, tekuće pomoći od međunarodnih organizacija (izvor 52) </w:t>
      </w:r>
      <w:r w:rsidR="00762AB6" w:rsidRPr="00762AB6">
        <w:rPr>
          <w:rFonts w:ascii="Times New Roman" w:hAnsi="Times New Roman"/>
          <w:szCs w:val="24"/>
        </w:rPr>
        <w:t>217.432</w:t>
      </w:r>
      <w:r w:rsidR="00762AB6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>EUR</w:t>
      </w:r>
      <w:r>
        <w:rPr>
          <w:rFonts w:ascii="Times New Roman" w:hAnsi="Times New Roman"/>
          <w:szCs w:val="24"/>
        </w:rPr>
        <w:t xml:space="preserve"> i </w:t>
      </w:r>
      <w:r w:rsidRPr="00D00C74">
        <w:rPr>
          <w:rFonts w:ascii="Times New Roman" w:hAnsi="Times New Roman"/>
          <w:szCs w:val="24"/>
        </w:rPr>
        <w:t xml:space="preserve">tekuće pomoći od institucija </w:t>
      </w:r>
      <w:r>
        <w:rPr>
          <w:rFonts w:ascii="Times New Roman" w:hAnsi="Times New Roman"/>
          <w:szCs w:val="24"/>
        </w:rPr>
        <w:t>i</w:t>
      </w:r>
      <w:r w:rsidRPr="00D00C74">
        <w:rPr>
          <w:rFonts w:ascii="Times New Roman" w:hAnsi="Times New Roman"/>
          <w:szCs w:val="24"/>
        </w:rPr>
        <w:t xml:space="preserve"> tijela EU (izvor 51) </w:t>
      </w:r>
      <w:r w:rsidR="00762AB6">
        <w:rPr>
          <w:rFonts w:ascii="Times New Roman" w:hAnsi="Times New Roman"/>
          <w:szCs w:val="24"/>
        </w:rPr>
        <w:t>385.100</w:t>
      </w:r>
      <w:r w:rsidR="006A2526">
        <w:rPr>
          <w:rFonts w:ascii="Times New Roman" w:hAnsi="Times New Roman"/>
          <w:szCs w:val="24"/>
        </w:rPr>
        <w:t xml:space="preserve"> </w:t>
      </w:r>
      <w:r w:rsidRPr="00D00C74">
        <w:rPr>
          <w:rFonts w:ascii="Times New Roman" w:hAnsi="Times New Roman"/>
          <w:szCs w:val="24"/>
        </w:rPr>
        <w:t>EUR</w:t>
      </w:r>
    </w:p>
    <w:p w:rsidR="00B0118D" w:rsidRPr="00B0118D" w:rsidRDefault="009B6970" w:rsidP="00B0118D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B0118D">
        <w:rPr>
          <w:rFonts w:ascii="Times New Roman" w:hAnsi="Times New Roman"/>
          <w:szCs w:val="24"/>
        </w:rPr>
        <w:t xml:space="preserve">Ostvareni rashodi za razdoblje 01.-06. 2025.iznose </w:t>
      </w:r>
      <w:r w:rsidRPr="00B0118D">
        <w:rPr>
          <w:rFonts w:ascii="Times New Roman" w:hAnsi="Times New Roman"/>
          <w:szCs w:val="24"/>
        </w:rPr>
        <w:t>5.615.657,45</w:t>
      </w:r>
      <w:r w:rsidRPr="00B0118D">
        <w:rPr>
          <w:rFonts w:ascii="Times New Roman" w:hAnsi="Times New Roman"/>
          <w:szCs w:val="24"/>
        </w:rPr>
        <w:t xml:space="preserve"> EUR. Po izvorima financiranja to je: </w:t>
      </w:r>
      <w:r w:rsidRPr="00B0118D">
        <w:rPr>
          <w:rFonts w:ascii="Times New Roman" w:hAnsi="Times New Roman"/>
          <w:szCs w:val="24"/>
        </w:rPr>
        <w:t xml:space="preserve">: iz državnog proračuna (izvor 11) </w:t>
      </w:r>
      <w:r w:rsidR="00EE0F60" w:rsidRPr="00B0118D">
        <w:rPr>
          <w:rFonts w:ascii="Times New Roman" w:hAnsi="Times New Roman"/>
          <w:szCs w:val="24"/>
        </w:rPr>
        <w:t>5.050.391,27</w:t>
      </w:r>
      <w:r w:rsidR="00EE0F60" w:rsidRPr="00B0118D">
        <w:rPr>
          <w:rFonts w:ascii="Times New Roman" w:hAnsi="Times New Roman"/>
          <w:szCs w:val="24"/>
        </w:rPr>
        <w:t xml:space="preserve"> </w:t>
      </w:r>
      <w:r w:rsidRPr="00B0118D">
        <w:rPr>
          <w:rFonts w:ascii="Times New Roman" w:hAnsi="Times New Roman"/>
          <w:szCs w:val="24"/>
        </w:rPr>
        <w:t xml:space="preserve">EUR, vlastitih prihoda (izvor 31) </w:t>
      </w:r>
      <w:r w:rsidR="00B0118D" w:rsidRPr="00B0118D">
        <w:rPr>
          <w:rFonts w:ascii="Times New Roman" w:hAnsi="Times New Roman"/>
          <w:szCs w:val="24"/>
        </w:rPr>
        <w:t>26.584,27</w:t>
      </w:r>
      <w:r w:rsidR="00B0118D" w:rsidRPr="00B0118D">
        <w:rPr>
          <w:rFonts w:ascii="Times New Roman" w:hAnsi="Times New Roman"/>
          <w:szCs w:val="24"/>
        </w:rPr>
        <w:t xml:space="preserve"> </w:t>
      </w:r>
      <w:r w:rsidRPr="00B0118D">
        <w:rPr>
          <w:rFonts w:ascii="Times New Roman" w:hAnsi="Times New Roman"/>
          <w:szCs w:val="24"/>
        </w:rPr>
        <w:t xml:space="preserve">EUR, prihoda za posebne namjene (izvor 43) </w:t>
      </w:r>
      <w:r w:rsidR="00B0118D" w:rsidRPr="00B0118D">
        <w:rPr>
          <w:rFonts w:ascii="Times New Roman" w:hAnsi="Times New Roman"/>
          <w:szCs w:val="24"/>
        </w:rPr>
        <w:t>143.496,70</w:t>
      </w:r>
      <w:r w:rsidRPr="00B0118D">
        <w:rPr>
          <w:rFonts w:ascii="Times New Roman" w:hAnsi="Times New Roman"/>
          <w:szCs w:val="24"/>
        </w:rPr>
        <w:t>EUR</w:t>
      </w:r>
      <w:r w:rsidR="00B0118D" w:rsidRPr="00B0118D">
        <w:rPr>
          <w:rFonts w:ascii="Times New Roman" w:hAnsi="Times New Roman"/>
          <w:szCs w:val="24"/>
        </w:rPr>
        <w:t>,</w:t>
      </w:r>
      <w:r w:rsidRPr="00B0118D">
        <w:rPr>
          <w:rFonts w:ascii="Times New Roman" w:hAnsi="Times New Roman"/>
          <w:szCs w:val="24"/>
        </w:rPr>
        <w:t xml:space="preserve"> ostale pomoći (izvor 52) </w:t>
      </w:r>
      <w:r w:rsidR="00B0118D" w:rsidRPr="00B0118D">
        <w:rPr>
          <w:rFonts w:ascii="Times New Roman" w:hAnsi="Times New Roman"/>
          <w:szCs w:val="24"/>
        </w:rPr>
        <w:t>267.968,16</w:t>
      </w:r>
      <w:r w:rsidR="00B0118D" w:rsidRPr="00B0118D">
        <w:rPr>
          <w:rFonts w:ascii="Times New Roman" w:hAnsi="Times New Roman"/>
          <w:szCs w:val="24"/>
        </w:rPr>
        <w:t xml:space="preserve"> </w:t>
      </w:r>
      <w:r w:rsidRPr="00B0118D">
        <w:rPr>
          <w:rFonts w:ascii="Times New Roman" w:hAnsi="Times New Roman"/>
          <w:szCs w:val="24"/>
        </w:rPr>
        <w:t>EUR</w:t>
      </w:r>
      <w:r w:rsidR="00B0118D" w:rsidRPr="00B0118D">
        <w:rPr>
          <w:rFonts w:ascii="Times New Roman" w:hAnsi="Times New Roman"/>
          <w:szCs w:val="24"/>
        </w:rPr>
        <w:t xml:space="preserve"> te pomoći EU (izvor 51) </w:t>
      </w:r>
      <w:r w:rsidR="00B0118D" w:rsidRPr="00B0118D">
        <w:rPr>
          <w:rFonts w:ascii="Times New Roman" w:hAnsi="Times New Roman"/>
          <w:szCs w:val="24"/>
        </w:rPr>
        <w:t>127.217,05</w:t>
      </w:r>
      <w:r w:rsidR="00B0118D" w:rsidRPr="00B0118D">
        <w:rPr>
          <w:rFonts w:ascii="Times New Roman" w:hAnsi="Times New Roman"/>
          <w:szCs w:val="24"/>
        </w:rPr>
        <w:t xml:space="preserve"> EUR</w:t>
      </w:r>
      <w:r w:rsidR="00B0118D">
        <w:rPr>
          <w:rFonts w:ascii="Times New Roman" w:hAnsi="Times New Roman"/>
          <w:szCs w:val="24"/>
        </w:rPr>
        <w:t>.</w:t>
      </w:r>
    </w:p>
    <w:p w:rsidR="009B6970" w:rsidRPr="003F32FC" w:rsidRDefault="009B6970" w:rsidP="003F32FC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F2BE5" w:rsidRPr="00D00C74" w:rsidRDefault="003F2BE5" w:rsidP="00B0118D">
      <w:pPr>
        <w:ind w:left="0" w:firstLine="0"/>
        <w:rPr>
          <w:rFonts w:ascii="Times New Roman" w:hAnsi="Times New Roman"/>
          <w:szCs w:val="24"/>
        </w:rPr>
      </w:pPr>
    </w:p>
    <w:p w:rsidR="009B6970" w:rsidRPr="009B6970" w:rsidRDefault="009B6970" w:rsidP="009B6970">
      <w:pPr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Ukupno ostvareni rashodi </w:t>
      </w:r>
      <w:r w:rsidRPr="009B6970">
        <w:rPr>
          <w:rFonts w:ascii="Times New Roman" w:hAnsi="Times New Roman" w:cs="Times New Roman"/>
          <w:szCs w:val="24"/>
        </w:rPr>
        <w:t>su u nešto većem iznosu od 50% izvršenja planiranog što je u skladu s polugodišnjim razdobljem izvještavanja.</w:t>
      </w:r>
    </w:p>
    <w:p w:rsidR="009B6970" w:rsidRPr="009B6970" w:rsidRDefault="009B6970" w:rsidP="009B6970">
      <w:pPr>
        <w:ind w:left="0" w:firstLine="0"/>
        <w:rPr>
          <w:rFonts w:ascii="Times New Roman" w:hAnsi="Times New Roman" w:cs="Times New Roman"/>
          <w:szCs w:val="24"/>
        </w:rPr>
      </w:pPr>
      <w:r w:rsidRPr="009B6970">
        <w:rPr>
          <w:rFonts w:ascii="Times New Roman" w:hAnsi="Times New Roman" w:cs="Times New Roman"/>
          <w:szCs w:val="24"/>
        </w:rPr>
        <w:t xml:space="preserve">Kao veće odstupanje mogu se navesti </w:t>
      </w:r>
      <w:r>
        <w:rPr>
          <w:rFonts w:ascii="Times New Roman" w:hAnsi="Times New Roman" w:cs="Times New Roman"/>
          <w:szCs w:val="24"/>
        </w:rPr>
        <w:t>rashodi</w:t>
      </w:r>
      <w:r w:rsidRPr="009B6970">
        <w:rPr>
          <w:rFonts w:ascii="Times New Roman" w:hAnsi="Times New Roman" w:cs="Times New Roman"/>
          <w:szCs w:val="24"/>
        </w:rPr>
        <w:t xml:space="preserve"> ostalih pomoći (izvor 52) budući da su već sad premašili godišnji planirani </w:t>
      </w:r>
      <w:r>
        <w:rPr>
          <w:rFonts w:ascii="Times New Roman" w:hAnsi="Times New Roman" w:cs="Times New Roman"/>
          <w:szCs w:val="24"/>
        </w:rPr>
        <w:t>rashod što je rezultat i većih prihoda na tom izvoru te će se kao i kod prihoda pristupiti izradi rebalansa za ovaj izvor i ovu aktivnost.</w:t>
      </w:r>
    </w:p>
    <w:p w:rsidR="006A2526" w:rsidRDefault="006A2526" w:rsidP="006A2526">
      <w:pPr>
        <w:ind w:left="0" w:firstLine="0"/>
        <w:rPr>
          <w:rFonts w:ascii="Times New Roman" w:hAnsi="Times New Roman" w:cs="Times New Roman"/>
          <w:szCs w:val="24"/>
        </w:rPr>
      </w:pPr>
    </w:p>
    <w:p w:rsidR="006A2526" w:rsidRDefault="006A2526" w:rsidP="006A2526">
      <w:pPr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kod rashoda i kod prihoda pokazatelji ukazuju na globalno dobro planiranje, ali gledajući po izvorima financiranja potrebno je uspostaviti temeljitije analitičko planiranje i praćenje.</w:t>
      </w:r>
    </w:p>
    <w:p w:rsidR="0086479C" w:rsidRPr="00A834AC" w:rsidRDefault="0086479C" w:rsidP="001B0240">
      <w:pPr>
        <w:rPr>
          <w:rFonts w:ascii="Times New Roman" w:hAnsi="Times New Roman" w:cs="Times New Roman"/>
          <w:szCs w:val="24"/>
        </w:rPr>
      </w:pPr>
    </w:p>
    <w:p w:rsidR="001B0240" w:rsidRPr="00A834AC" w:rsidRDefault="001B0240" w:rsidP="001B0240">
      <w:pPr>
        <w:rPr>
          <w:rFonts w:ascii="Times New Roman" w:hAnsi="Times New Roman" w:cs="Times New Roman"/>
          <w:szCs w:val="24"/>
        </w:rPr>
      </w:pPr>
      <w:r w:rsidRPr="00A834AC">
        <w:rPr>
          <w:rFonts w:ascii="Times New Roman" w:hAnsi="Times New Roman" w:cs="Times New Roman"/>
          <w:szCs w:val="24"/>
        </w:rPr>
        <w:t xml:space="preserve">Prihodima iz državnog proračuna (izvor 11) </w:t>
      </w:r>
      <w:r w:rsidR="0086479C">
        <w:rPr>
          <w:rFonts w:ascii="Times New Roman" w:hAnsi="Times New Roman" w:cs="Times New Roman"/>
          <w:szCs w:val="24"/>
        </w:rPr>
        <w:t>su pokriveni</w:t>
      </w:r>
      <w:r w:rsidRPr="00A834AC">
        <w:rPr>
          <w:rFonts w:ascii="Times New Roman" w:hAnsi="Times New Roman" w:cs="Times New Roman"/>
          <w:szCs w:val="24"/>
        </w:rPr>
        <w:t xml:space="preserve"> u najvećem dijelu rashod</w:t>
      </w:r>
      <w:r w:rsidR="0086479C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plaća i doprinosa za zaposlene, troškov</w:t>
      </w:r>
      <w:r w:rsidR="0086479C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vanjskih suradnika mentora, troškov</w:t>
      </w:r>
      <w:r w:rsidR="0086479C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materijala i usluga (režija prvenstveno) te rashod</w:t>
      </w:r>
      <w:r w:rsidR="0086479C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za nabavu materijalne imovine.</w:t>
      </w:r>
    </w:p>
    <w:p w:rsidR="001B0240" w:rsidRPr="00A834AC" w:rsidRDefault="001B0240" w:rsidP="001B0240">
      <w:pPr>
        <w:rPr>
          <w:rFonts w:ascii="Times New Roman" w:hAnsi="Times New Roman" w:cs="Times New Roman"/>
          <w:szCs w:val="24"/>
        </w:rPr>
      </w:pPr>
      <w:r w:rsidRPr="00A834AC">
        <w:rPr>
          <w:rFonts w:ascii="Times New Roman" w:hAnsi="Times New Roman" w:cs="Times New Roman"/>
          <w:szCs w:val="24"/>
        </w:rPr>
        <w:t xml:space="preserve">Prihodima iz izvoda 31,43 i 52 </w:t>
      </w:r>
      <w:r w:rsidR="0086479C">
        <w:rPr>
          <w:rFonts w:ascii="Times New Roman" w:hAnsi="Times New Roman" w:cs="Times New Roman"/>
          <w:szCs w:val="24"/>
        </w:rPr>
        <w:t xml:space="preserve">izdaci </w:t>
      </w:r>
      <w:r w:rsidRPr="00A834AC">
        <w:rPr>
          <w:rFonts w:ascii="Times New Roman" w:hAnsi="Times New Roman" w:cs="Times New Roman"/>
          <w:szCs w:val="24"/>
        </w:rPr>
        <w:t>za plaće djelatnika i vanjskih suradnika na izvedbi izvanrednih studija i cjeloživotnih učenja, putn</w:t>
      </w:r>
      <w:r w:rsidR="0086479C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troškov</w:t>
      </w:r>
      <w:r w:rsidR="00FF5614">
        <w:rPr>
          <w:rFonts w:ascii="Times New Roman" w:hAnsi="Times New Roman" w:cs="Times New Roman"/>
          <w:szCs w:val="24"/>
        </w:rPr>
        <w:t>i</w:t>
      </w:r>
      <w:r w:rsidRPr="00A834AC">
        <w:rPr>
          <w:rFonts w:ascii="Times New Roman" w:hAnsi="Times New Roman" w:cs="Times New Roman"/>
          <w:szCs w:val="24"/>
        </w:rPr>
        <w:t xml:space="preserve"> za stručna usavršavanje, objave i tisak knjiga i radova u časopisima, razne nabavke sitne opreme i inventara za provedbu nastave i djelovanja fakulteta, te usluge održavanja fakulteta i unapređivanja djelatnosti visokog obrazovanja. </w:t>
      </w:r>
    </w:p>
    <w:p w:rsidR="001B0240" w:rsidRDefault="001B0240" w:rsidP="001B0240">
      <w:pPr>
        <w:rPr>
          <w:rFonts w:ascii="Times New Roman" w:hAnsi="Times New Roman" w:cs="Times New Roman"/>
          <w:szCs w:val="24"/>
        </w:rPr>
      </w:pPr>
      <w:r w:rsidRPr="00A834AC">
        <w:rPr>
          <w:rFonts w:ascii="Times New Roman" w:hAnsi="Times New Roman" w:cs="Times New Roman"/>
          <w:szCs w:val="24"/>
        </w:rPr>
        <w:t xml:space="preserve">Fakultet ne planira vraćanje zajmova jer nije planirano ni uzimanje istih.  </w:t>
      </w:r>
    </w:p>
    <w:p w:rsidR="00946264" w:rsidRPr="00946264" w:rsidRDefault="00946264" w:rsidP="00946264">
      <w:pPr>
        <w:rPr>
          <w:rFonts w:ascii="Times New Roman" w:hAnsi="Times New Roman" w:cs="Times New Roman"/>
          <w:b/>
          <w:szCs w:val="24"/>
        </w:rPr>
      </w:pPr>
    </w:p>
    <w:p w:rsidR="001B0240" w:rsidRDefault="00946264" w:rsidP="00946264">
      <w:pPr>
        <w:ind w:left="0" w:firstLine="0"/>
        <w:rPr>
          <w:rFonts w:ascii="Times New Roman" w:hAnsi="Times New Roman" w:cs="Times New Roman"/>
          <w:szCs w:val="24"/>
        </w:rPr>
      </w:pPr>
      <w:r w:rsidRPr="00946264">
        <w:rPr>
          <w:rFonts w:ascii="Times New Roman" w:hAnsi="Times New Roman" w:cs="Times New Roman"/>
          <w:szCs w:val="24"/>
        </w:rPr>
        <w:t xml:space="preserve">Stanje novčanih sredstava na početku godine iznosilo je </w:t>
      </w:r>
      <w:r w:rsidR="00B0118D" w:rsidRPr="00B0118D">
        <w:rPr>
          <w:rFonts w:ascii="Times New Roman" w:hAnsi="Times New Roman" w:cs="Times New Roman"/>
          <w:szCs w:val="24"/>
        </w:rPr>
        <w:t>743.991,40</w:t>
      </w:r>
      <w:r w:rsidR="00B0118D">
        <w:rPr>
          <w:rFonts w:ascii="Times New Roman" w:hAnsi="Times New Roman" w:cs="Times New Roman"/>
          <w:szCs w:val="24"/>
        </w:rPr>
        <w:t xml:space="preserve"> </w:t>
      </w:r>
      <w:r w:rsidRPr="00946264">
        <w:rPr>
          <w:rFonts w:ascii="Times New Roman" w:hAnsi="Times New Roman" w:cs="Times New Roman"/>
          <w:szCs w:val="24"/>
        </w:rPr>
        <w:t xml:space="preserve">EUR dok je na kraju izvještajnog razdoblja </w:t>
      </w:r>
      <w:r w:rsidR="00B0118D" w:rsidRPr="00B0118D">
        <w:rPr>
          <w:rFonts w:ascii="Times New Roman" w:hAnsi="Times New Roman" w:cs="Times New Roman"/>
          <w:szCs w:val="24"/>
        </w:rPr>
        <w:t>324.938,33</w:t>
      </w:r>
      <w:r w:rsidR="00B0118D">
        <w:rPr>
          <w:rFonts w:ascii="Times New Roman" w:hAnsi="Times New Roman" w:cs="Times New Roman"/>
          <w:szCs w:val="24"/>
        </w:rPr>
        <w:t xml:space="preserve"> </w:t>
      </w:r>
      <w:r w:rsidRPr="00946264">
        <w:rPr>
          <w:rFonts w:ascii="Times New Roman" w:hAnsi="Times New Roman" w:cs="Times New Roman"/>
          <w:szCs w:val="24"/>
        </w:rPr>
        <w:t>EUR.</w:t>
      </w:r>
    </w:p>
    <w:p w:rsidR="00946264" w:rsidRDefault="00946264" w:rsidP="00946264">
      <w:pPr>
        <w:ind w:left="0" w:firstLine="0"/>
        <w:rPr>
          <w:rFonts w:ascii="Times New Roman" w:hAnsi="Times New Roman" w:cs="Times New Roman"/>
          <w:szCs w:val="24"/>
        </w:rPr>
      </w:pPr>
    </w:p>
    <w:p w:rsidR="00946264" w:rsidRPr="00946264" w:rsidRDefault="00946264" w:rsidP="00946264">
      <w:pPr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Ukupne obveze na dan </w:t>
      </w:r>
      <w:r w:rsidR="00B0118D">
        <w:rPr>
          <w:rFonts w:ascii="Times New Roman" w:hAnsi="Times New Roman" w:cs="Times New Roman"/>
          <w:szCs w:val="24"/>
        </w:rPr>
        <w:t>30.06.2025</w:t>
      </w:r>
      <w:r>
        <w:rPr>
          <w:rFonts w:ascii="Times New Roman" w:hAnsi="Times New Roman" w:cs="Times New Roman"/>
          <w:szCs w:val="24"/>
        </w:rPr>
        <w:t xml:space="preserve">. iznose </w:t>
      </w:r>
      <w:r w:rsidR="00B0118D">
        <w:rPr>
          <w:rFonts w:ascii="Times New Roman" w:hAnsi="Times New Roman" w:cs="Times New Roman"/>
          <w:szCs w:val="24"/>
        </w:rPr>
        <w:t xml:space="preserve">61.534,17 </w:t>
      </w:r>
      <w:r>
        <w:rPr>
          <w:rFonts w:ascii="Times New Roman" w:hAnsi="Times New Roman" w:cs="Times New Roman"/>
          <w:szCs w:val="24"/>
        </w:rPr>
        <w:t xml:space="preserve"> EUR</w:t>
      </w:r>
    </w:p>
    <w:p w:rsidR="00CD14F5" w:rsidRPr="00A834AC" w:rsidRDefault="00CD14F5" w:rsidP="001B0240">
      <w:pPr>
        <w:rPr>
          <w:rFonts w:ascii="Times New Roman" w:hAnsi="Times New Roman" w:cs="Times New Roman"/>
          <w:szCs w:val="24"/>
        </w:rPr>
      </w:pPr>
    </w:p>
    <w:p w:rsidR="00206A85" w:rsidRPr="00A834AC" w:rsidRDefault="00206A85">
      <w:pPr>
        <w:rPr>
          <w:rFonts w:ascii="Times New Roman" w:hAnsi="Times New Roman" w:cs="Times New Roman"/>
          <w:szCs w:val="24"/>
        </w:rPr>
      </w:pPr>
    </w:p>
    <w:sectPr w:rsidR="00206A85" w:rsidRPr="00A8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C0F"/>
    <w:multiLevelType w:val="hybridMultilevel"/>
    <w:tmpl w:val="5064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5"/>
    <w:rsid w:val="001B0240"/>
    <w:rsid w:val="001C49D0"/>
    <w:rsid w:val="00206A85"/>
    <w:rsid w:val="003A42B9"/>
    <w:rsid w:val="003F2BE5"/>
    <w:rsid w:val="003F32FC"/>
    <w:rsid w:val="004D1005"/>
    <w:rsid w:val="004E30B0"/>
    <w:rsid w:val="00624C1A"/>
    <w:rsid w:val="006A2526"/>
    <w:rsid w:val="006B26C0"/>
    <w:rsid w:val="00762AB6"/>
    <w:rsid w:val="008134E8"/>
    <w:rsid w:val="0086479C"/>
    <w:rsid w:val="008A69C1"/>
    <w:rsid w:val="008E4B32"/>
    <w:rsid w:val="00946264"/>
    <w:rsid w:val="009B6970"/>
    <w:rsid w:val="00A834AC"/>
    <w:rsid w:val="00AE0A97"/>
    <w:rsid w:val="00B0118D"/>
    <w:rsid w:val="00B91BDE"/>
    <w:rsid w:val="00BF0C37"/>
    <w:rsid w:val="00C91F23"/>
    <w:rsid w:val="00CD14F5"/>
    <w:rsid w:val="00CD2254"/>
    <w:rsid w:val="00D26CF5"/>
    <w:rsid w:val="00DE7E81"/>
    <w:rsid w:val="00E643AD"/>
    <w:rsid w:val="00EE0F60"/>
    <w:rsid w:val="00F01647"/>
    <w:rsid w:val="00FC2809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04E2"/>
  <w15:chartTrackingRefBased/>
  <w15:docId w15:val="{EF8EC407-8EF7-4EE0-9764-34756CE3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A85"/>
    <w:pPr>
      <w:spacing w:after="3" w:line="265" w:lineRule="auto"/>
      <w:ind w:left="5" w:right="77" w:firstLine="4"/>
      <w:jc w:val="both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A85"/>
    <w:pPr>
      <w:ind w:left="720"/>
      <w:contextualSpacing/>
    </w:pPr>
  </w:style>
  <w:style w:type="table" w:styleId="Reetkatablice">
    <w:name w:val="Table Grid"/>
    <w:basedOn w:val="Obinatablica"/>
    <w:uiPriority w:val="39"/>
    <w:rsid w:val="00CD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Vidić</dc:creator>
  <cp:keywords/>
  <dc:description/>
  <cp:lastModifiedBy>Sandra Vidić</cp:lastModifiedBy>
  <cp:revision>6</cp:revision>
  <dcterms:created xsi:type="dcterms:W3CDTF">2025-07-16T11:16:00Z</dcterms:created>
  <dcterms:modified xsi:type="dcterms:W3CDTF">2025-07-16T13:15:00Z</dcterms:modified>
</cp:coreProperties>
</file>