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3ADEF" w14:textId="77777777" w:rsidR="00E63A9A" w:rsidRDefault="00DE712F" w:rsidP="00836E6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22857</w:t>
      </w:r>
      <w:r w:rsidR="00E63A9A" w:rsidRPr="00B05667">
        <w:rPr>
          <w:rFonts w:ascii="Times New Roman" w:hAnsi="Times New Roman"/>
          <w:b/>
          <w:sz w:val="24"/>
          <w:szCs w:val="24"/>
        </w:rPr>
        <w:t xml:space="preserve"> SVEUČILIŠTE U RIJECI </w:t>
      </w:r>
      <w:r>
        <w:rPr>
          <w:rFonts w:ascii="Times New Roman" w:hAnsi="Times New Roman"/>
          <w:b/>
          <w:sz w:val="24"/>
          <w:szCs w:val="24"/>
        </w:rPr>
        <w:t>–</w:t>
      </w:r>
      <w:r w:rsidR="00E63A9A" w:rsidRPr="00B056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FILOZOFSKI FAKULTET</w:t>
      </w:r>
    </w:p>
    <w:p w14:paraId="7FF46B62" w14:textId="2259A81A" w:rsidR="00354910" w:rsidRDefault="00E63A9A" w:rsidP="00836E6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836E6B">
        <w:rPr>
          <w:rFonts w:ascii="Times New Roman" w:hAnsi="Times New Roman" w:cs="Times New Roman"/>
          <w:b/>
          <w:sz w:val="24"/>
          <w:szCs w:val="24"/>
        </w:rPr>
        <w:t xml:space="preserve"> IZMJENE I DOPUNE</w:t>
      </w:r>
      <w:r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836E6B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4F1D59">
        <w:rPr>
          <w:rFonts w:ascii="Times New Roman" w:hAnsi="Times New Roman" w:cs="Times New Roman"/>
          <w:b/>
          <w:sz w:val="24"/>
          <w:szCs w:val="24"/>
        </w:rPr>
        <w:t>2025.</w:t>
      </w:r>
      <w:r w:rsidR="00836E6B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5EC88C54" w14:textId="77777777" w:rsidR="00E63A9A" w:rsidRPr="004E005F" w:rsidRDefault="00E63A9A" w:rsidP="00E63A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4EBC6AED" w14:textId="77777777" w:rsidR="00E63A9A" w:rsidRDefault="00E63A9A" w:rsidP="00E63A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PRIHODI I PRIMICI</w:t>
      </w:r>
    </w:p>
    <w:p w14:paraId="2D5EDBF8" w14:textId="7A4AD99E" w:rsidR="00D00C74" w:rsidRPr="00D00C74" w:rsidRDefault="00D00C74" w:rsidP="00D00C74">
      <w:pPr>
        <w:jc w:val="both"/>
        <w:rPr>
          <w:rFonts w:ascii="Times New Roman" w:hAnsi="Times New Roman"/>
          <w:sz w:val="24"/>
          <w:szCs w:val="24"/>
        </w:rPr>
      </w:pPr>
      <w:r w:rsidRPr="00D00C74">
        <w:rPr>
          <w:rFonts w:ascii="Times New Roman" w:hAnsi="Times New Roman"/>
          <w:sz w:val="24"/>
          <w:szCs w:val="24"/>
        </w:rPr>
        <w:t xml:space="preserve">Planirani ukupni prihodi i primici za </w:t>
      </w:r>
      <w:r w:rsidR="004F1D59">
        <w:rPr>
          <w:rFonts w:ascii="Times New Roman" w:hAnsi="Times New Roman"/>
          <w:sz w:val="24"/>
          <w:szCs w:val="24"/>
        </w:rPr>
        <w:t>2025.</w:t>
      </w:r>
      <w:r w:rsidRPr="00D00C74">
        <w:rPr>
          <w:rFonts w:ascii="Times New Roman" w:hAnsi="Times New Roman"/>
          <w:sz w:val="24"/>
          <w:szCs w:val="24"/>
        </w:rPr>
        <w:t xml:space="preserve"> iznose </w:t>
      </w:r>
      <w:r w:rsidR="004F1D59">
        <w:rPr>
          <w:rFonts w:ascii="Times New Roman" w:hAnsi="Times New Roman"/>
          <w:sz w:val="24"/>
          <w:szCs w:val="24"/>
        </w:rPr>
        <w:t>11.</w:t>
      </w:r>
      <w:r w:rsidR="00F34576">
        <w:rPr>
          <w:rFonts w:ascii="Times New Roman" w:hAnsi="Times New Roman"/>
          <w:sz w:val="24"/>
          <w:szCs w:val="24"/>
        </w:rPr>
        <w:t>549</w:t>
      </w:r>
      <w:r w:rsidR="004F1D59">
        <w:rPr>
          <w:rFonts w:ascii="Times New Roman" w:hAnsi="Times New Roman"/>
          <w:sz w:val="24"/>
          <w:szCs w:val="24"/>
        </w:rPr>
        <w:t>.</w:t>
      </w:r>
      <w:r w:rsidR="00F34576">
        <w:rPr>
          <w:rFonts w:ascii="Times New Roman" w:hAnsi="Times New Roman"/>
          <w:sz w:val="24"/>
          <w:szCs w:val="24"/>
        </w:rPr>
        <w:t>505</w:t>
      </w:r>
      <w:r w:rsidR="006A20F4">
        <w:rPr>
          <w:rFonts w:ascii="Times New Roman" w:hAnsi="Times New Roman"/>
          <w:sz w:val="24"/>
          <w:szCs w:val="24"/>
        </w:rPr>
        <w:t xml:space="preserve"> </w:t>
      </w:r>
      <w:r w:rsidRPr="00D00C74">
        <w:rPr>
          <w:rFonts w:ascii="Times New Roman" w:hAnsi="Times New Roman"/>
          <w:sz w:val="24"/>
          <w:szCs w:val="24"/>
        </w:rPr>
        <w:t xml:space="preserve">EUR i to iz izvora: državnog proračuna (izvor 11) </w:t>
      </w:r>
      <w:r w:rsidR="00F34576">
        <w:rPr>
          <w:rFonts w:ascii="Times New Roman" w:hAnsi="Times New Roman"/>
          <w:sz w:val="24"/>
          <w:szCs w:val="24"/>
        </w:rPr>
        <w:t>9.944.534</w:t>
      </w:r>
      <w:r w:rsidR="004F1D59">
        <w:rPr>
          <w:rFonts w:ascii="Times New Roman" w:hAnsi="Times New Roman"/>
          <w:sz w:val="24"/>
          <w:szCs w:val="24"/>
        </w:rPr>
        <w:t xml:space="preserve"> </w:t>
      </w:r>
      <w:r w:rsidRPr="00D00C74">
        <w:rPr>
          <w:rFonts w:ascii="Times New Roman" w:hAnsi="Times New Roman"/>
          <w:sz w:val="24"/>
          <w:szCs w:val="24"/>
        </w:rPr>
        <w:t xml:space="preserve">EUR, vlastitih prihoda (izvor 31) </w:t>
      </w:r>
      <w:r w:rsidR="004F1D59">
        <w:rPr>
          <w:rFonts w:ascii="Times New Roman" w:hAnsi="Times New Roman"/>
          <w:sz w:val="24"/>
          <w:szCs w:val="24"/>
        </w:rPr>
        <w:t>50.000</w:t>
      </w:r>
      <w:r w:rsidR="00DB4DCB">
        <w:rPr>
          <w:rFonts w:ascii="Times New Roman" w:hAnsi="Times New Roman"/>
          <w:sz w:val="24"/>
          <w:szCs w:val="24"/>
        </w:rPr>
        <w:t xml:space="preserve"> </w:t>
      </w:r>
      <w:r w:rsidRPr="00D00C74">
        <w:rPr>
          <w:rFonts w:ascii="Times New Roman" w:hAnsi="Times New Roman"/>
          <w:sz w:val="24"/>
          <w:szCs w:val="24"/>
        </w:rPr>
        <w:t xml:space="preserve">EUR, prihoda za posebne namjene (izvor 43) </w:t>
      </w:r>
      <w:r w:rsidR="004F1D59">
        <w:rPr>
          <w:rFonts w:ascii="Times New Roman" w:hAnsi="Times New Roman"/>
          <w:sz w:val="24"/>
          <w:szCs w:val="24"/>
        </w:rPr>
        <w:t>330</w:t>
      </w:r>
      <w:r w:rsidR="00051C8E">
        <w:rPr>
          <w:rFonts w:ascii="Times New Roman" w:hAnsi="Times New Roman"/>
          <w:sz w:val="24"/>
          <w:szCs w:val="24"/>
        </w:rPr>
        <w:t>.000</w:t>
      </w:r>
      <w:r w:rsidR="00DB4DCB">
        <w:rPr>
          <w:rFonts w:ascii="Times New Roman" w:hAnsi="Times New Roman"/>
          <w:sz w:val="24"/>
          <w:szCs w:val="24"/>
        </w:rPr>
        <w:t xml:space="preserve"> </w:t>
      </w:r>
      <w:r w:rsidRPr="00D00C74">
        <w:rPr>
          <w:rFonts w:ascii="Times New Roman" w:hAnsi="Times New Roman"/>
          <w:sz w:val="24"/>
          <w:szCs w:val="24"/>
        </w:rPr>
        <w:t xml:space="preserve">EUR, ostale pomoći (izvor 52) </w:t>
      </w:r>
      <w:r w:rsidR="004F1D59">
        <w:rPr>
          <w:rFonts w:ascii="Times New Roman" w:hAnsi="Times New Roman"/>
          <w:sz w:val="24"/>
          <w:szCs w:val="24"/>
        </w:rPr>
        <w:t>541.699</w:t>
      </w:r>
      <w:r w:rsidR="00051C8E">
        <w:rPr>
          <w:rFonts w:ascii="Times New Roman" w:hAnsi="Times New Roman"/>
          <w:sz w:val="24"/>
          <w:szCs w:val="24"/>
        </w:rPr>
        <w:t xml:space="preserve"> </w:t>
      </w:r>
      <w:r w:rsidRPr="00D00C74">
        <w:rPr>
          <w:rFonts w:ascii="Times New Roman" w:hAnsi="Times New Roman"/>
          <w:sz w:val="24"/>
          <w:szCs w:val="24"/>
        </w:rPr>
        <w:t>EUR</w:t>
      </w:r>
      <w:r w:rsidR="00051C8E">
        <w:rPr>
          <w:rFonts w:ascii="Times New Roman" w:hAnsi="Times New Roman"/>
          <w:sz w:val="24"/>
          <w:szCs w:val="24"/>
        </w:rPr>
        <w:t xml:space="preserve"> i</w:t>
      </w:r>
      <w:r w:rsidRPr="00D00C74">
        <w:rPr>
          <w:rFonts w:ascii="Times New Roman" w:hAnsi="Times New Roman"/>
          <w:sz w:val="24"/>
          <w:szCs w:val="24"/>
        </w:rPr>
        <w:t xml:space="preserve"> tekuće pomoći od institucija i tijela EU (izvor 51) </w:t>
      </w:r>
      <w:r w:rsidR="004F1D59">
        <w:rPr>
          <w:rFonts w:ascii="Times New Roman" w:hAnsi="Times New Roman"/>
          <w:sz w:val="24"/>
          <w:szCs w:val="24"/>
        </w:rPr>
        <w:t>591</w:t>
      </w:r>
      <w:r w:rsidR="00051C8E">
        <w:rPr>
          <w:rFonts w:ascii="Times New Roman" w:hAnsi="Times New Roman"/>
          <w:sz w:val="24"/>
          <w:szCs w:val="24"/>
        </w:rPr>
        <w:t>.000</w:t>
      </w:r>
      <w:r w:rsidR="00DB4DCB">
        <w:rPr>
          <w:rFonts w:ascii="Times New Roman" w:hAnsi="Times New Roman"/>
          <w:sz w:val="24"/>
          <w:szCs w:val="24"/>
        </w:rPr>
        <w:t xml:space="preserve"> </w:t>
      </w:r>
      <w:r w:rsidRPr="00D00C74">
        <w:rPr>
          <w:rFonts w:ascii="Times New Roman" w:hAnsi="Times New Roman"/>
          <w:sz w:val="24"/>
          <w:szCs w:val="24"/>
        </w:rPr>
        <w:t>EUR</w:t>
      </w:r>
      <w:r w:rsidR="004F1D59">
        <w:rPr>
          <w:rFonts w:ascii="Times New Roman" w:hAnsi="Times New Roman"/>
          <w:sz w:val="24"/>
          <w:szCs w:val="24"/>
        </w:rPr>
        <w:t xml:space="preserve"> te Mehanizma za oporavak i otpornost (izvor 581) </w:t>
      </w:r>
      <w:r w:rsidR="00F34576">
        <w:rPr>
          <w:rFonts w:ascii="Times New Roman" w:hAnsi="Times New Roman"/>
          <w:sz w:val="24"/>
          <w:szCs w:val="24"/>
        </w:rPr>
        <w:t>92.272</w:t>
      </w:r>
      <w:r w:rsidR="004F1D59">
        <w:rPr>
          <w:rFonts w:ascii="Times New Roman" w:hAnsi="Times New Roman"/>
          <w:sz w:val="24"/>
          <w:szCs w:val="24"/>
        </w:rPr>
        <w:t xml:space="preserve"> EUR</w:t>
      </w:r>
    </w:p>
    <w:p w14:paraId="7BFE808A" w14:textId="77777777" w:rsidR="009B5C66" w:rsidRDefault="009B5C66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Fakultet nema namjeru zaduživanja u narednom razdoblju planiranja. </w:t>
      </w:r>
    </w:p>
    <w:p w14:paraId="6D961B27" w14:textId="77777777" w:rsidR="00E75132" w:rsidRDefault="00E75132" w:rsidP="00E63A9A">
      <w:pPr>
        <w:jc w:val="both"/>
        <w:rPr>
          <w:rFonts w:ascii="Times New Roman" w:hAnsi="Times New Roman"/>
          <w:sz w:val="24"/>
          <w:szCs w:val="24"/>
        </w:rPr>
      </w:pPr>
    </w:p>
    <w:p w14:paraId="329C8C19" w14:textId="77777777" w:rsidR="00E75132" w:rsidRDefault="00E75132" w:rsidP="00E63A9A">
      <w:pPr>
        <w:jc w:val="both"/>
        <w:rPr>
          <w:rFonts w:ascii="Times New Roman" w:hAnsi="Times New Roman"/>
          <w:b/>
          <w:sz w:val="24"/>
          <w:szCs w:val="24"/>
        </w:rPr>
      </w:pPr>
      <w:r w:rsidRPr="00E75132">
        <w:rPr>
          <w:rFonts w:ascii="Times New Roman" w:hAnsi="Times New Roman"/>
          <w:b/>
          <w:sz w:val="24"/>
          <w:szCs w:val="24"/>
        </w:rPr>
        <w:t>RASHODI I IZDACI</w:t>
      </w:r>
    </w:p>
    <w:p w14:paraId="681CA6E1" w14:textId="440510D5" w:rsidR="006A20F4" w:rsidRPr="00D00C74" w:rsidRDefault="006A20F4" w:rsidP="006A20F4">
      <w:pPr>
        <w:jc w:val="both"/>
        <w:rPr>
          <w:rFonts w:ascii="Times New Roman" w:hAnsi="Times New Roman"/>
          <w:sz w:val="24"/>
          <w:szCs w:val="24"/>
        </w:rPr>
      </w:pPr>
      <w:r w:rsidRPr="00D00C74">
        <w:rPr>
          <w:rFonts w:ascii="Times New Roman" w:hAnsi="Times New Roman"/>
          <w:sz w:val="24"/>
          <w:szCs w:val="24"/>
        </w:rPr>
        <w:t xml:space="preserve">Planirani ukupni </w:t>
      </w:r>
      <w:r w:rsidR="00DB4DCB">
        <w:rPr>
          <w:rFonts w:ascii="Times New Roman" w:hAnsi="Times New Roman"/>
          <w:sz w:val="24"/>
          <w:szCs w:val="24"/>
        </w:rPr>
        <w:t>rashodi i izdaci</w:t>
      </w:r>
      <w:r w:rsidRPr="00D00C74">
        <w:rPr>
          <w:rFonts w:ascii="Times New Roman" w:hAnsi="Times New Roman"/>
          <w:sz w:val="24"/>
          <w:szCs w:val="24"/>
        </w:rPr>
        <w:t xml:space="preserve"> za </w:t>
      </w:r>
      <w:r w:rsidR="004F1D59">
        <w:rPr>
          <w:rFonts w:ascii="Times New Roman" w:hAnsi="Times New Roman"/>
          <w:sz w:val="24"/>
          <w:szCs w:val="24"/>
        </w:rPr>
        <w:t>2025.</w:t>
      </w:r>
      <w:r w:rsidRPr="00D00C74">
        <w:rPr>
          <w:rFonts w:ascii="Times New Roman" w:hAnsi="Times New Roman"/>
          <w:sz w:val="24"/>
          <w:szCs w:val="24"/>
        </w:rPr>
        <w:t xml:space="preserve"> iznose </w:t>
      </w:r>
      <w:r w:rsidR="00167072">
        <w:rPr>
          <w:rFonts w:ascii="Times New Roman" w:hAnsi="Times New Roman"/>
          <w:sz w:val="24"/>
          <w:szCs w:val="24"/>
        </w:rPr>
        <w:t>11.</w:t>
      </w:r>
      <w:r w:rsidR="00F34576">
        <w:rPr>
          <w:rFonts w:ascii="Times New Roman" w:hAnsi="Times New Roman"/>
          <w:sz w:val="24"/>
          <w:szCs w:val="24"/>
        </w:rPr>
        <w:t>303.929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C74">
        <w:rPr>
          <w:rFonts w:ascii="Times New Roman" w:hAnsi="Times New Roman"/>
          <w:sz w:val="24"/>
          <w:szCs w:val="24"/>
        </w:rPr>
        <w:t xml:space="preserve">EUR i to iz izvora: državnog proračuna (izvor 11) </w:t>
      </w:r>
      <w:r w:rsidR="00F34576">
        <w:rPr>
          <w:rFonts w:ascii="Times New Roman" w:hAnsi="Times New Roman"/>
          <w:sz w:val="24"/>
          <w:szCs w:val="24"/>
        </w:rPr>
        <w:t>9.944.534</w:t>
      </w:r>
      <w:r w:rsidR="00167072">
        <w:rPr>
          <w:rFonts w:ascii="Times New Roman" w:hAnsi="Times New Roman"/>
          <w:sz w:val="24"/>
          <w:szCs w:val="24"/>
        </w:rPr>
        <w:t xml:space="preserve"> </w:t>
      </w:r>
      <w:r w:rsidRPr="00D00C74">
        <w:rPr>
          <w:rFonts w:ascii="Times New Roman" w:hAnsi="Times New Roman"/>
          <w:sz w:val="24"/>
          <w:szCs w:val="24"/>
        </w:rPr>
        <w:t xml:space="preserve">EUR, vlastitih prihoda (izvor 31) </w:t>
      </w:r>
      <w:r w:rsidR="00167072" w:rsidRPr="00167072">
        <w:rPr>
          <w:rFonts w:ascii="Times New Roman" w:hAnsi="Times New Roman"/>
          <w:sz w:val="24"/>
          <w:szCs w:val="24"/>
        </w:rPr>
        <w:t>49.8</w:t>
      </w:r>
      <w:r w:rsidR="00F34576">
        <w:rPr>
          <w:rFonts w:ascii="Times New Roman" w:hAnsi="Times New Roman"/>
          <w:sz w:val="24"/>
          <w:szCs w:val="24"/>
        </w:rPr>
        <w:t>25</w:t>
      </w:r>
      <w:r w:rsidR="00167072">
        <w:rPr>
          <w:rFonts w:ascii="Times New Roman" w:hAnsi="Times New Roman"/>
          <w:sz w:val="24"/>
          <w:szCs w:val="24"/>
        </w:rPr>
        <w:t xml:space="preserve"> </w:t>
      </w:r>
      <w:r w:rsidRPr="00D00C74">
        <w:rPr>
          <w:rFonts w:ascii="Times New Roman" w:hAnsi="Times New Roman"/>
          <w:sz w:val="24"/>
          <w:szCs w:val="24"/>
        </w:rPr>
        <w:t xml:space="preserve">EUR, prihoda za posebne namjene (izvor 43) </w:t>
      </w:r>
      <w:r w:rsidR="00F34576">
        <w:rPr>
          <w:rFonts w:ascii="Times New Roman" w:hAnsi="Times New Roman"/>
          <w:sz w:val="24"/>
          <w:szCs w:val="24"/>
        </w:rPr>
        <w:t>319.620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C74">
        <w:rPr>
          <w:rFonts w:ascii="Times New Roman" w:hAnsi="Times New Roman"/>
          <w:sz w:val="24"/>
          <w:szCs w:val="24"/>
        </w:rPr>
        <w:t xml:space="preserve">EUR, ostale pomoći (izvor 52) </w:t>
      </w:r>
      <w:r w:rsidR="00F34576">
        <w:rPr>
          <w:rFonts w:ascii="Times New Roman" w:hAnsi="Times New Roman"/>
          <w:sz w:val="24"/>
          <w:szCs w:val="24"/>
        </w:rPr>
        <w:t>532.033</w:t>
      </w:r>
      <w:r w:rsidR="00167072">
        <w:rPr>
          <w:rFonts w:ascii="Times New Roman" w:hAnsi="Times New Roman"/>
          <w:sz w:val="24"/>
          <w:szCs w:val="24"/>
        </w:rPr>
        <w:t xml:space="preserve"> </w:t>
      </w:r>
      <w:r w:rsidRPr="00D00C74">
        <w:rPr>
          <w:rFonts w:ascii="Times New Roman" w:hAnsi="Times New Roman"/>
          <w:sz w:val="24"/>
          <w:szCs w:val="24"/>
        </w:rPr>
        <w:t>EUR</w:t>
      </w:r>
      <w:r w:rsidR="000426F4">
        <w:rPr>
          <w:rFonts w:ascii="Times New Roman" w:hAnsi="Times New Roman"/>
          <w:sz w:val="24"/>
          <w:szCs w:val="24"/>
        </w:rPr>
        <w:t xml:space="preserve"> i</w:t>
      </w:r>
      <w:r w:rsidRPr="00D00C74">
        <w:rPr>
          <w:rFonts w:ascii="Times New Roman" w:hAnsi="Times New Roman"/>
          <w:sz w:val="24"/>
          <w:szCs w:val="24"/>
        </w:rPr>
        <w:t xml:space="preserve"> tekuće pomoći od institucija i tijela EU (izvor 51) </w:t>
      </w:r>
      <w:r w:rsidR="00167072">
        <w:rPr>
          <w:rFonts w:ascii="Times New Roman" w:hAnsi="Times New Roman"/>
          <w:sz w:val="24"/>
          <w:szCs w:val="24"/>
        </w:rPr>
        <w:t>365.645</w:t>
      </w:r>
      <w:r w:rsidR="004824EC">
        <w:rPr>
          <w:rFonts w:ascii="Times New Roman" w:hAnsi="Times New Roman"/>
          <w:sz w:val="24"/>
          <w:szCs w:val="24"/>
        </w:rPr>
        <w:t xml:space="preserve"> </w:t>
      </w:r>
      <w:r w:rsidR="004824EC" w:rsidRPr="004824EC">
        <w:rPr>
          <w:rFonts w:ascii="Times New Roman" w:hAnsi="Times New Roman"/>
          <w:sz w:val="24"/>
          <w:szCs w:val="24"/>
        </w:rPr>
        <w:t xml:space="preserve">EUR te Mehanizma za oporavak i otpornost (izvor 581) </w:t>
      </w:r>
      <w:r w:rsidR="00F34576">
        <w:rPr>
          <w:rFonts w:ascii="Times New Roman" w:hAnsi="Times New Roman"/>
          <w:sz w:val="24"/>
          <w:szCs w:val="24"/>
        </w:rPr>
        <w:t>92.272</w:t>
      </w:r>
      <w:r w:rsidR="004824EC" w:rsidRPr="004824EC">
        <w:rPr>
          <w:rFonts w:ascii="Times New Roman" w:hAnsi="Times New Roman"/>
          <w:sz w:val="24"/>
          <w:szCs w:val="24"/>
        </w:rPr>
        <w:t xml:space="preserve"> EUR</w:t>
      </w:r>
      <w:r w:rsidR="00AA2676">
        <w:rPr>
          <w:rFonts w:ascii="Times New Roman" w:hAnsi="Times New Roman"/>
          <w:sz w:val="24"/>
          <w:szCs w:val="24"/>
        </w:rPr>
        <w:t>.</w:t>
      </w:r>
    </w:p>
    <w:p w14:paraId="138A4226" w14:textId="5C5AE5C8" w:rsidR="00E63A9A" w:rsidRDefault="00E63A9A" w:rsidP="00E63A9A">
      <w:pPr>
        <w:jc w:val="both"/>
        <w:rPr>
          <w:rFonts w:ascii="Times New Roman" w:hAnsi="Times New Roman"/>
          <w:sz w:val="24"/>
          <w:szCs w:val="24"/>
        </w:rPr>
      </w:pPr>
      <w:r w:rsidRPr="008102D1">
        <w:rPr>
          <w:rFonts w:ascii="Times New Roman" w:hAnsi="Times New Roman"/>
          <w:sz w:val="24"/>
          <w:szCs w:val="24"/>
        </w:rPr>
        <w:t>Prihodima iz državnog proračuna</w:t>
      </w:r>
      <w:r>
        <w:rPr>
          <w:rFonts w:ascii="Times New Roman" w:hAnsi="Times New Roman"/>
          <w:sz w:val="24"/>
          <w:szCs w:val="24"/>
        </w:rPr>
        <w:t xml:space="preserve"> (izvor 11)</w:t>
      </w:r>
      <w:r w:rsidRPr="008102D1">
        <w:rPr>
          <w:rFonts w:ascii="Times New Roman" w:hAnsi="Times New Roman"/>
          <w:sz w:val="24"/>
          <w:szCs w:val="24"/>
        </w:rPr>
        <w:t xml:space="preserve"> je prema iznosima predviđeno pokriće u najvećem dijelu rashoda plaća i doprinosa za zaposlene, troškove vanjskih suradnika mentora, troškova materijala i usluga</w:t>
      </w:r>
      <w:r w:rsidR="00E75132">
        <w:rPr>
          <w:rFonts w:ascii="Times New Roman" w:hAnsi="Times New Roman"/>
          <w:sz w:val="24"/>
          <w:szCs w:val="24"/>
        </w:rPr>
        <w:t xml:space="preserve"> (režija prvenstveno)</w:t>
      </w:r>
      <w:r w:rsidRPr="008102D1">
        <w:rPr>
          <w:rFonts w:ascii="Times New Roman" w:hAnsi="Times New Roman"/>
          <w:sz w:val="24"/>
          <w:szCs w:val="24"/>
        </w:rPr>
        <w:t xml:space="preserve"> te rashoda za nabavu materijalne imovine.</w:t>
      </w:r>
    </w:p>
    <w:p w14:paraId="3A186161" w14:textId="77777777" w:rsidR="00A512C7" w:rsidRDefault="00A512C7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Prihodima iz izvoda 31</w:t>
      </w:r>
      <w:r w:rsidR="00E751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43 </w:t>
      </w:r>
      <w:r w:rsidR="00E75132">
        <w:rPr>
          <w:rFonts w:ascii="Times New Roman" w:hAnsi="Times New Roman"/>
          <w:sz w:val="24"/>
          <w:szCs w:val="24"/>
        </w:rPr>
        <w:t xml:space="preserve">i 52 </w:t>
      </w:r>
      <w:r>
        <w:rPr>
          <w:rFonts w:ascii="Times New Roman" w:hAnsi="Times New Roman"/>
          <w:sz w:val="24"/>
          <w:szCs w:val="24"/>
        </w:rPr>
        <w:t>planira</w:t>
      </w:r>
      <w:r w:rsidR="00E75132"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z w:val="24"/>
          <w:szCs w:val="24"/>
        </w:rPr>
        <w:t xml:space="preserve"> se platiti izdatke za plaće djelatnika i </w:t>
      </w:r>
      <w:r w:rsidR="00E75132">
        <w:rPr>
          <w:rFonts w:ascii="Times New Roman" w:hAnsi="Times New Roman"/>
          <w:sz w:val="24"/>
          <w:szCs w:val="24"/>
        </w:rPr>
        <w:t xml:space="preserve">vanjskih </w:t>
      </w:r>
      <w:r>
        <w:rPr>
          <w:rFonts w:ascii="Times New Roman" w:hAnsi="Times New Roman"/>
          <w:sz w:val="24"/>
          <w:szCs w:val="24"/>
        </w:rPr>
        <w:t>suradnika na izvedbi izvanrednih studija</w:t>
      </w:r>
      <w:r w:rsidR="00E75132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cjeloživotnih učenja</w:t>
      </w:r>
      <w:r w:rsidR="00E75132">
        <w:rPr>
          <w:rFonts w:ascii="Times New Roman" w:hAnsi="Times New Roman"/>
          <w:sz w:val="24"/>
          <w:szCs w:val="24"/>
        </w:rPr>
        <w:t>, putne troškove za stručna usavršavanje, objave i tisak knjiga i radova u časopisima, ra</w:t>
      </w:r>
      <w:r w:rsidR="004E005F">
        <w:rPr>
          <w:rFonts w:ascii="Times New Roman" w:hAnsi="Times New Roman"/>
          <w:sz w:val="24"/>
          <w:szCs w:val="24"/>
        </w:rPr>
        <w:t>zne</w:t>
      </w:r>
      <w:r w:rsidR="00E75132">
        <w:rPr>
          <w:rFonts w:ascii="Times New Roman" w:hAnsi="Times New Roman"/>
          <w:sz w:val="24"/>
          <w:szCs w:val="24"/>
        </w:rPr>
        <w:t xml:space="preserve"> nabavke sitne opreme i inventara za provedbu nastave i djelovanja fakulteta, te usluge održavanja fakulteta i unapređivanja djelatnosti visokog obrazovanja. </w:t>
      </w:r>
    </w:p>
    <w:p w14:paraId="545C9B35" w14:textId="77777777" w:rsidR="009B5C66" w:rsidRDefault="009B5C66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Fakultet ne planira vraćanje zajmova jer nije planirano ni uzimanje istih.  </w:t>
      </w:r>
    </w:p>
    <w:p w14:paraId="7FBB1957" w14:textId="77777777" w:rsidR="009B5C66" w:rsidRDefault="009B5C66" w:rsidP="00E63A9A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7C81DAF" w14:textId="77777777" w:rsidR="009B5C66" w:rsidRPr="009B5C66" w:rsidRDefault="009B5C66" w:rsidP="00E63A9A">
      <w:pPr>
        <w:jc w:val="both"/>
        <w:rPr>
          <w:rFonts w:ascii="Times New Roman" w:hAnsi="Times New Roman"/>
          <w:b/>
          <w:sz w:val="24"/>
          <w:szCs w:val="24"/>
        </w:rPr>
      </w:pPr>
      <w:r w:rsidRPr="009B5C66">
        <w:rPr>
          <w:rFonts w:ascii="Times New Roman" w:hAnsi="Times New Roman"/>
          <w:b/>
          <w:sz w:val="24"/>
          <w:szCs w:val="24"/>
        </w:rPr>
        <w:t>PRIJENOS SREDSTAVA IZ PRETHODNE I U SLJEDEĆU GODINU</w:t>
      </w:r>
    </w:p>
    <w:p w14:paraId="63279ECF" w14:textId="7DE6F9DD" w:rsidR="00A512C7" w:rsidRDefault="00A512C7" w:rsidP="00A512C7">
      <w:pPr>
        <w:jc w:val="both"/>
        <w:rPr>
          <w:rFonts w:ascii="Times New Roman" w:hAnsi="Times New Roman"/>
          <w:sz w:val="24"/>
          <w:szCs w:val="24"/>
        </w:rPr>
      </w:pPr>
      <w:r w:rsidRPr="008102D1">
        <w:rPr>
          <w:rFonts w:ascii="Times New Roman" w:hAnsi="Times New Roman"/>
          <w:sz w:val="24"/>
          <w:szCs w:val="24"/>
        </w:rPr>
        <w:t>Uz planirane prihode predviđa se korištenje donosa iz prethodnih godina. Iz 202</w:t>
      </w:r>
      <w:r w:rsidR="00D24B91">
        <w:rPr>
          <w:rFonts w:ascii="Times New Roman" w:hAnsi="Times New Roman"/>
          <w:sz w:val="24"/>
          <w:szCs w:val="24"/>
        </w:rPr>
        <w:t>4</w:t>
      </w:r>
      <w:r w:rsidRPr="008102D1">
        <w:rPr>
          <w:rFonts w:ascii="Times New Roman" w:hAnsi="Times New Roman"/>
          <w:sz w:val="24"/>
          <w:szCs w:val="24"/>
        </w:rPr>
        <w:t xml:space="preserve">. godine projicirani je donos </w:t>
      </w:r>
      <w:r w:rsidR="00E16358">
        <w:rPr>
          <w:rFonts w:ascii="Times New Roman" w:hAnsi="Times New Roman"/>
          <w:sz w:val="24"/>
          <w:szCs w:val="24"/>
        </w:rPr>
        <w:t>4</w:t>
      </w:r>
      <w:r w:rsidR="00D24B91">
        <w:rPr>
          <w:rFonts w:ascii="Times New Roman" w:hAnsi="Times New Roman"/>
          <w:sz w:val="24"/>
          <w:szCs w:val="24"/>
        </w:rPr>
        <w:t>9</w:t>
      </w:r>
      <w:r w:rsidR="00E16358">
        <w:rPr>
          <w:rFonts w:ascii="Times New Roman" w:hAnsi="Times New Roman"/>
          <w:sz w:val="24"/>
          <w:szCs w:val="24"/>
        </w:rPr>
        <w:t>0.000</w:t>
      </w:r>
      <w:r>
        <w:rPr>
          <w:rFonts w:ascii="Times New Roman" w:hAnsi="Times New Roman"/>
          <w:sz w:val="24"/>
          <w:szCs w:val="24"/>
        </w:rPr>
        <w:t xml:space="preserve"> EUR</w:t>
      </w:r>
      <w:r w:rsidRPr="008102D1">
        <w:rPr>
          <w:rFonts w:ascii="Times New Roman" w:hAnsi="Times New Roman"/>
          <w:sz w:val="24"/>
          <w:szCs w:val="24"/>
        </w:rPr>
        <w:t>, od čega je izvor</w:t>
      </w:r>
      <w:r>
        <w:rPr>
          <w:rFonts w:ascii="Times New Roman" w:hAnsi="Times New Roman"/>
          <w:sz w:val="24"/>
          <w:szCs w:val="24"/>
        </w:rPr>
        <w:t xml:space="preserve"> 11 </w:t>
      </w:r>
      <w:r w:rsidR="00E16358">
        <w:rPr>
          <w:rFonts w:ascii="Times New Roman" w:hAnsi="Times New Roman"/>
          <w:sz w:val="24"/>
          <w:szCs w:val="24"/>
        </w:rPr>
        <w:t>3</w:t>
      </w:r>
      <w:r w:rsidR="00D24B91">
        <w:rPr>
          <w:rFonts w:ascii="Times New Roman" w:hAnsi="Times New Roman"/>
          <w:sz w:val="24"/>
          <w:szCs w:val="24"/>
        </w:rPr>
        <w:t>0</w:t>
      </w:r>
      <w:r w:rsidR="00E16358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EUR, izvor</w:t>
      </w:r>
      <w:r w:rsidRPr="008102D1">
        <w:rPr>
          <w:rFonts w:ascii="Times New Roman" w:hAnsi="Times New Roman"/>
          <w:sz w:val="24"/>
          <w:szCs w:val="24"/>
        </w:rPr>
        <w:t xml:space="preserve"> 31 </w:t>
      </w:r>
      <w:r w:rsidR="00D24B91">
        <w:rPr>
          <w:rFonts w:ascii="Times New Roman" w:hAnsi="Times New Roman"/>
          <w:sz w:val="24"/>
          <w:szCs w:val="24"/>
        </w:rPr>
        <w:t>15</w:t>
      </w:r>
      <w:r w:rsidR="00515175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EUR</w:t>
      </w:r>
      <w:r w:rsidRPr="008102D1">
        <w:rPr>
          <w:rFonts w:ascii="Times New Roman" w:hAnsi="Times New Roman"/>
          <w:sz w:val="24"/>
          <w:szCs w:val="24"/>
        </w:rPr>
        <w:t xml:space="preserve">, izvor 43 </w:t>
      </w:r>
      <w:r w:rsidR="00D24B91">
        <w:rPr>
          <w:rFonts w:ascii="Times New Roman" w:hAnsi="Times New Roman"/>
          <w:sz w:val="24"/>
          <w:szCs w:val="24"/>
        </w:rPr>
        <w:t>55</w:t>
      </w:r>
      <w:r w:rsidR="00515175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EUR</w:t>
      </w:r>
      <w:r w:rsidRPr="008102D1">
        <w:rPr>
          <w:rFonts w:ascii="Times New Roman" w:hAnsi="Times New Roman"/>
          <w:sz w:val="24"/>
          <w:szCs w:val="24"/>
        </w:rPr>
        <w:t xml:space="preserve">, izvor 51 </w:t>
      </w:r>
      <w:r w:rsidR="00D24B91">
        <w:rPr>
          <w:rFonts w:ascii="Times New Roman" w:hAnsi="Times New Roman"/>
          <w:sz w:val="24"/>
          <w:szCs w:val="24"/>
        </w:rPr>
        <w:t>300</w:t>
      </w:r>
      <w:r w:rsidR="00E16358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EUR</w:t>
      </w:r>
      <w:r w:rsidR="00515175">
        <w:rPr>
          <w:rFonts w:ascii="Times New Roman" w:hAnsi="Times New Roman"/>
          <w:sz w:val="24"/>
          <w:szCs w:val="24"/>
        </w:rPr>
        <w:t xml:space="preserve">, </w:t>
      </w:r>
      <w:r w:rsidR="00E16358">
        <w:rPr>
          <w:rFonts w:ascii="Times New Roman" w:hAnsi="Times New Roman"/>
          <w:sz w:val="24"/>
          <w:szCs w:val="24"/>
        </w:rPr>
        <w:t xml:space="preserve">te </w:t>
      </w:r>
      <w:r w:rsidRPr="008102D1">
        <w:rPr>
          <w:rFonts w:ascii="Times New Roman" w:hAnsi="Times New Roman"/>
          <w:sz w:val="24"/>
          <w:szCs w:val="24"/>
        </w:rPr>
        <w:t xml:space="preserve">izvor 52 </w:t>
      </w:r>
      <w:r w:rsidR="00D24B91">
        <w:rPr>
          <w:rFonts w:ascii="Times New Roman" w:hAnsi="Times New Roman"/>
          <w:sz w:val="24"/>
          <w:szCs w:val="24"/>
        </w:rPr>
        <w:t>9</w:t>
      </w:r>
      <w:r w:rsidR="00E16358">
        <w:rPr>
          <w:rFonts w:ascii="Times New Roman" w:hAnsi="Times New Roman"/>
          <w:sz w:val="24"/>
          <w:szCs w:val="24"/>
        </w:rPr>
        <w:t>0</w:t>
      </w:r>
      <w:r w:rsidR="00515175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EUR</w:t>
      </w:r>
      <w:r w:rsidR="00E16358">
        <w:rPr>
          <w:rFonts w:ascii="Times New Roman" w:hAnsi="Times New Roman"/>
          <w:sz w:val="24"/>
          <w:szCs w:val="24"/>
        </w:rPr>
        <w:t>.</w:t>
      </w:r>
    </w:p>
    <w:p w14:paraId="02045C0C" w14:textId="77777777" w:rsidR="006E6C8C" w:rsidRDefault="006E6C8C" w:rsidP="00A512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Odnosi u slijedeću godinu su isti za izvor 11 je se obično radi o uplatama za projekte koji traju nekoliko godina i dobivaju se sredstva krajem godine. </w:t>
      </w:r>
    </w:p>
    <w:p w14:paraId="7C4BDA99" w14:textId="1299AAA8" w:rsidR="006E6C8C" w:rsidRDefault="006E6C8C" w:rsidP="00A512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Izvor 52 je zadan limitom od pošiljaoca sredstava</w:t>
      </w:r>
      <w:r w:rsidR="00517EB8">
        <w:rPr>
          <w:rFonts w:ascii="Times New Roman" w:hAnsi="Times New Roman"/>
          <w:sz w:val="24"/>
          <w:szCs w:val="24"/>
        </w:rPr>
        <w:t>.</w:t>
      </w:r>
    </w:p>
    <w:p w14:paraId="050E202A" w14:textId="07E620D3" w:rsidR="006E6C8C" w:rsidRDefault="006E6C8C" w:rsidP="00A512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Izvori 31 i 43 se povećavaju u maloj mjeri kroz godine, dok se unutar izvora 51 </w:t>
      </w:r>
      <w:r w:rsidR="00D24B91">
        <w:rPr>
          <w:rFonts w:ascii="Times New Roman" w:hAnsi="Times New Roman"/>
          <w:sz w:val="24"/>
          <w:szCs w:val="24"/>
        </w:rPr>
        <w:t>planira veliko povećanje s obzirom na to da je prihvaćeno 2. financijsko izvješće na projektu REVENANT te će uplata iz 2025. biti velikim dijelom prenesena u iduću godinu za potrebe pokrivanja troškova na projektu.</w:t>
      </w:r>
    </w:p>
    <w:p w14:paraId="09F4AA20" w14:textId="77777777" w:rsidR="006E6C8C" w:rsidRDefault="006E6C8C" w:rsidP="00A512C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1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3465"/>
        <w:gridCol w:w="3465"/>
      </w:tblGrid>
      <w:tr w:rsidR="006E6C8C" w14:paraId="71E76A44" w14:textId="77777777" w:rsidTr="006E6C8C">
        <w:trPr>
          <w:trHeight w:val="458"/>
        </w:trPr>
        <w:tc>
          <w:tcPr>
            <w:tcW w:w="3255" w:type="dxa"/>
          </w:tcPr>
          <w:p w14:paraId="0A2F5051" w14:textId="77777777" w:rsidR="006E6C8C" w:rsidRDefault="006E6C8C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428D9DD" w14:textId="379DED6F" w:rsidR="006E6C8C" w:rsidRDefault="006E6C8C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 obveza na dan 31.12.202</w:t>
            </w:r>
            <w:r w:rsidR="004F1D59">
              <w:rPr>
                <w:rFonts w:ascii="Times New Roman" w:hAnsi="Times New Roman"/>
                <w:sz w:val="24"/>
                <w:szCs w:val="24"/>
              </w:rPr>
              <w:t>4</w:t>
            </w:r>
            <w:r w:rsidR="00FB20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5" w:type="dxa"/>
          </w:tcPr>
          <w:p w14:paraId="3E3AD418" w14:textId="4D2ACA9B" w:rsidR="006E6C8C" w:rsidRDefault="006E6C8C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 obveza na dan 30.06.</w:t>
            </w:r>
            <w:r w:rsidR="004F1D59"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</w:tr>
      <w:tr w:rsidR="006E6C8C" w14:paraId="5DE27DB5" w14:textId="77777777" w:rsidTr="006E6C8C">
        <w:trPr>
          <w:trHeight w:val="458"/>
        </w:trPr>
        <w:tc>
          <w:tcPr>
            <w:tcW w:w="3255" w:type="dxa"/>
          </w:tcPr>
          <w:p w14:paraId="55E4B2D4" w14:textId="77777777" w:rsidR="006E6C8C" w:rsidRDefault="006E6C8C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Ukupne obveze</w:t>
            </w:r>
          </w:p>
        </w:tc>
        <w:tc>
          <w:tcPr>
            <w:tcW w:w="3465" w:type="dxa"/>
          </w:tcPr>
          <w:p w14:paraId="41AD603C" w14:textId="037095D7" w:rsidR="006E6C8C" w:rsidRDefault="00B32E0A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178.597,28</w:t>
            </w:r>
            <w:r w:rsidR="00B94271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  <w:tc>
          <w:tcPr>
            <w:tcW w:w="3465" w:type="dxa"/>
          </w:tcPr>
          <w:p w14:paraId="3351A2E2" w14:textId="566A6541" w:rsidR="006E6C8C" w:rsidRDefault="00B32E0A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61.534,17</w:t>
            </w:r>
            <w:r w:rsidR="00BC36A1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6E6C8C" w14:paraId="400245D3" w14:textId="77777777" w:rsidTr="006E6C8C">
        <w:trPr>
          <w:trHeight w:val="458"/>
        </w:trPr>
        <w:tc>
          <w:tcPr>
            <w:tcW w:w="3255" w:type="dxa"/>
          </w:tcPr>
          <w:p w14:paraId="54FD7F24" w14:textId="5AE8BF84" w:rsidR="006E6C8C" w:rsidRDefault="00A237CA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E6C8C">
              <w:rPr>
                <w:rFonts w:ascii="Times New Roman" w:hAnsi="Times New Roman"/>
                <w:sz w:val="24"/>
                <w:szCs w:val="24"/>
              </w:rPr>
              <w:t>ospjele obveze</w:t>
            </w:r>
          </w:p>
        </w:tc>
        <w:tc>
          <w:tcPr>
            <w:tcW w:w="3465" w:type="dxa"/>
          </w:tcPr>
          <w:p w14:paraId="1C03619F" w14:textId="6D48278E" w:rsidR="006E6C8C" w:rsidRDefault="00B32E0A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161.081,15 </w:t>
            </w:r>
            <w:r w:rsidR="00B94271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3465" w:type="dxa"/>
          </w:tcPr>
          <w:p w14:paraId="48C4C68F" w14:textId="0E1CD489" w:rsidR="006E6C8C" w:rsidRDefault="00BC36A1" w:rsidP="006E6C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E0A">
              <w:rPr>
                <w:rFonts w:ascii="Times New Roman" w:hAnsi="Times New Roman"/>
                <w:sz w:val="24"/>
                <w:szCs w:val="24"/>
              </w:rPr>
              <w:t xml:space="preserve">    378,38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</w:tbl>
    <w:p w14:paraId="323D7C61" w14:textId="77777777" w:rsidR="006E6C8C" w:rsidRPr="008102D1" w:rsidRDefault="006E6C8C" w:rsidP="00A512C7">
      <w:pPr>
        <w:jc w:val="both"/>
        <w:rPr>
          <w:rFonts w:ascii="Times New Roman" w:hAnsi="Times New Roman"/>
          <w:sz w:val="24"/>
          <w:szCs w:val="24"/>
        </w:rPr>
      </w:pPr>
    </w:p>
    <w:p w14:paraId="7BD96F13" w14:textId="77777777" w:rsidR="00A512C7" w:rsidRPr="00E63A9A" w:rsidRDefault="00A512C7" w:rsidP="00E63A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12C7" w:rsidRPr="00E63A9A" w:rsidSect="00B63D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9A"/>
    <w:rsid w:val="000426F4"/>
    <w:rsid w:val="00051C8E"/>
    <w:rsid w:val="000E30B8"/>
    <w:rsid w:val="00167072"/>
    <w:rsid w:val="00174A30"/>
    <w:rsid w:val="00191E6D"/>
    <w:rsid w:val="00307B6B"/>
    <w:rsid w:val="004824EC"/>
    <w:rsid w:val="004A16E8"/>
    <w:rsid w:val="004E005F"/>
    <w:rsid w:val="004F1D59"/>
    <w:rsid w:val="00515175"/>
    <w:rsid w:val="00516DD8"/>
    <w:rsid w:val="00517EB8"/>
    <w:rsid w:val="005A04FD"/>
    <w:rsid w:val="006A20F4"/>
    <w:rsid w:val="006E6C8C"/>
    <w:rsid w:val="007353D4"/>
    <w:rsid w:val="00751162"/>
    <w:rsid w:val="007C5D79"/>
    <w:rsid w:val="00836E6B"/>
    <w:rsid w:val="00903CAF"/>
    <w:rsid w:val="0091443B"/>
    <w:rsid w:val="009B5C66"/>
    <w:rsid w:val="00A237CA"/>
    <w:rsid w:val="00A512C7"/>
    <w:rsid w:val="00AA2676"/>
    <w:rsid w:val="00AE465C"/>
    <w:rsid w:val="00AF44B3"/>
    <w:rsid w:val="00B30481"/>
    <w:rsid w:val="00B32E0A"/>
    <w:rsid w:val="00B63DF2"/>
    <w:rsid w:val="00B94271"/>
    <w:rsid w:val="00B94D44"/>
    <w:rsid w:val="00BC36A1"/>
    <w:rsid w:val="00D00C74"/>
    <w:rsid w:val="00D24B91"/>
    <w:rsid w:val="00DB4DCB"/>
    <w:rsid w:val="00DD68EE"/>
    <w:rsid w:val="00DE712F"/>
    <w:rsid w:val="00E16358"/>
    <w:rsid w:val="00E63A9A"/>
    <w:rsid w:val="00E75132"/>
    <w:rsid w:val="00F256BB"/>
    <w:rsid w:val="00F265DA"/>
    <w:rsid w:val="00F34576"/>
    <w:rsid w:val="00F7769E"/>
    <w:rsid w:val="00FB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87BA"/>
  <w15:chartTrackingRefBased/>
  <w15:docId w15:val="{21C25441-E753-4233-B05A-2D4044C6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F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Prodanić</dc:creator>
  <cp:keywords/>
  <dc:description/>
  <cp:lastModifiedBy>Sandra Vidić</cp:lastModifiedBy>
  <cp:revision>8</cp:revision>
  <dcterms:created xsi:type="dcterms:W3CDTF">2025-09-23T11:42:00Z</dcterms:created>
  <dcterms:modified xsi:type="dcterms:W3CDTF">2025-12-10T08:28:00Z</dcterms:modified>
</cp:coreProperties>
</file>